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42" w:rsidRPr="002D6A42" w:rsidRDefault="002D6A42" w:rsidP="002D6A42">
      <w:pPr>
        <w:shd w:val="clear" w:color="auto" w:fill="FFFFFF"/>
        <w:spacing w:after="161"/>
        <w:outlineLvl w:val="0"/>
        <w:rPr>
          <w:rFonts w:ascii="Arial" w:eastAsia="Times New Roman" w:hAnsi="Arial" w:cs="Arial"/>
          <w:color w:val="000000"/>
          <w:spacing w:val="-12"/>
          <w:kern w:val="36"/>
          <w:sz w:val="36"/>
          <w:szCs w:val="36"/>
          <w:lang w:eastAsia="it-IT"/>
        </w:rPr>
      </w:pPr>
      <w:r w:rsidRPr="002D6A42">
        <w:rPr>
          <w:rFonts w:ascii="Arial" w:eastAsia="Times New Roman" w:hAnsi="Arial" w:cs="Arial"/>
          <w:color w:val="000000"/>
          <w:spacing w:val="-12"/>
          <w:kern w:val="36"/>
          <w:sz w:val="36"/>
          <w:szCs w:val="36"/>
          <w:lang w:eastAsia="it-IT"/>
        </w:rPr>
        <w:t>6/06/2021 - Decreto Reclutamento: nuova disciplina per progressioni orizzontali e verticali</w:t>
      </w:r>
    </w:p>
    <w:p w:rsidR="002D6A42" w:rsidRPr="002D6A42" w:rsidRDefault="002D6A42" w:rsidP="002D6A42">
      <w:pPr>
        <w:shd w:val="clear" w:color="auto" w:fill="FFFFFF"/>
        <w:rPr>
          <w:rFonts w:ascii="Arial" w:eastAsia="Times New Roman" w:hAnsi="Arial" w:cs="Arial"/>
          <w:color w:val="393939"/>
          <w:szCs w:val="24"/>
          <w:lang w:eastAsia="it-IT"/>
        </w:rPr>
      </w:pPr>
    </w:p>
    <w:p w:rsidR="002D6A42" w:rsidRPr="002D6A42" w:rsidRDefault="002D6A42" w:rsidP="002D6A42">
      <w:pPr>
        <w:shd w:val="clear" w:color="auto" w:fill="FFFFFF"/>
        <w:spacing w:before="150" w:after="240"/>
        <w:jc w:val="both"/>
        <w:rPr>
          <w:rFonts w:ascii="Arial" w:eastAsia="Times New Roman" w:hAnsi="Arial" w:cs="Arial"/>
          <w:color w:val="393939"/>
          <w:szCs w:val="24"/>
          <w:lang w:eastAsia="it-IT"/>
        </w:rPr>
      </w:pPr>
      <w:r w:rsidRPr="002D6A42">
        <w:rPr>
          <w:rFonts w:ascii="Arial" w:eastAsia="Times New Roman" w:hAnsi="Arial" w:cs="Arial"/>
          <w:b/>
          <w:bCs/>
          <w:color w:val="393939"/>
          <w:szCs w:val="24"/>
          <w:lang w:eastAsia="it-IT"/>
        </w:rPr>
        <w:t>All’interno del Decreto «reclutamento» c’è una nuova disciplina per le progressioni orizzontali e verticali: ecco le novità.</w:t>
      </w:r>
    </w:p>
    <w:p w:rsidR="002D6A42" w:rsidRPr="002D6A42" w:rsidRDefault="002D6A42" w:rsidP="002D6A42">
      <w:pPr>
        <w:shd w:val="clear" w:color="auto" w:fill="FFFFFF"/>
        <w:rPr>
          <w:rFonts w:ascii="Arial" w:eastAsia="Times New Roman" w:hAnsi="Arial" w:cs="Arial"/>
          <w:color w:val="393939"/>
          <w:szCs w:val="24"/>
          <w:lang w:eastAsia="it-IT"/>
        </w:rPr>
      </w:pPr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2D6A42" w:rsidRPr="002D6A42" w:rsidRDefault="002D6A42" w:rsidP="002D6A42">
      <w:pPr>
        <w:shd w:val="clear" w:color="auto" w:fill="FFFFFF"/>
        <w:spacing w:before="150" w:after="240"/>
        <w:jc w:val="both"/>
        <w:rPr>
          <w:rFonts w:ascii="Arial" w:eastAsia="Times New Roman" w:hAnsi="Arial" w:cs="Arial"/>
          <w:color w:val="393939"/>
          <w:szCs w:val="24"/>
          <w:lang w:eastAsia="it-IT"/>
        </w:rPr>
      </w:pPr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Il </w:t>
      </w:r>
      <w:r w:rsidRPr="002D6A42">
        <w:rPr>
          <w:rFonts w:ascii="Arial" w:eastAsia="Times New Roman" w:hAnsi="Arial" w:cs="Arial"/>
          <w:b/>
          <w:bCs/>
          <w:color w:val="393939"/>
          <w:szCs w:val="24"/>
          <w:lang w:eastAsia="it-IT"/>
        </w:rPr>
        <w:t>D.L. n. 80/2021</w:t>
      </w:r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, il cosiddetto </w:t>
      </w:r>
      <w:hyperlink r:id="rId5" w:tgtFrame="_blank" w:history="1">
        <w:r w:rsidRPr="002D6A42">
          <w:rPr>
            <w:rFonts w:ascii="Arial" w:eastAsia="Times New Roman" w:hAnsi="Arial" w:cs="Arial"/>
            <w:color w:val="205C90"/>
            <w:szCs w:val="24"/>
            <w:u w:val="single"/>
            <w:lang w:eastAsia="it-IT"/>
          </w:rPr>
          <w:t>decreto «reclutamento»</w:t>
        </w:r>
      </w:hyperlink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, riscrive infatti la disciplina delle progressioni economiche e di carriera.</w:t>
      </w:r>
    </w:p>
    <w:p w:rsidR="002D6A42" w:rsidRPr="002D6A42" w:rsidRDefault="002D6A42" w:rsidP="002D6A42">
      <w:pPr>
        <w:shd w:val="clear" w:color="auto" w:fill="FFFFFF"/>
        <w:spacing w:before="150" w:after="240"/>
        <w:jc w:val="both"/>
        <w:rPr>
          <w:rFonts w:ascii="Arial" w:eastAsia="Times New Roman" w:hAnsi="Arial" w:cs="Arial"/>
          <w:color w:val="393939"/>
          <w:szCs w:val="24"/>
          <w:lang w:eastAsia="it-IT"/>
        </w:rPr>
      </w:pPr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L’</w:t>
      </w:r>
      <w:r w:rsidRPr="002D6A42">
        <w:rPr>
          <w:rFonts w:ascii="Arial" w:eastAsia="Times New Roman" w:hAnsi="Arial" w:cs="Arial"/>
          <w:b/>
          <w:bCs/>
          <w:color w:val="393939"/>
          <w:szCs w:val="24"/>
          <w:lang w:eastAsia="it-IT"/>
        </w:rPr>
        <w:t>art. 3</w:t>
      </w:r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 del decreto dispone la suddivisione dei dipendenti in tre aree funzionali, con l’aggiunta di una quarta definita di elevata qualificazione.</w:t>
      </w:r>
    </w:p>
    <w:p w:rsidR="002D6A42" w:rsidRPr="002D6A42" w:rsidRDefault="002D6A42" w:rsidP="002D6A42">
      <w:pPr>
        <w:shd w:val="clear" w:color="auto" w:fill="FFFFFF"/>
        <w:spacing w:before="199" w:after="199" w:line="360" w:lineRule="atLeast"/>
        <w:jc w:val="both"/>
        <w:outlineLvl w:val="1"/>
        <w:rPr>
          <w:rFonts w:ascii="Arial" w:eastAsia="Times New Roman" w:hAnsi="Arial" w:cs="Arial"/>
          <w:color w:val="444444"/>
          <w:spacing w:val="-12"/>
          <w:sz w:val="26"/>
          <w:szCs w:val="26"/>
          <w:lang w:eastAsia="it-IT"/>
        </w:rPr>
      </w:pPr>
      <w:r w:rsidRPr="002D6A42">
        <w:rPr>
          <w:rFonts w:ascii="Arial" w:eastAsia="Times New Roman" w:hAnsi="Arial" w:cs="Arial"/>
          <w:color w:val="444444"/>
          <w:spacing w:val="-12"/>
          <w:sz w:val="26"/>
          <w:szCs w:val="26"/>
          <w:lang w:eastAsia="it-IT"/>
        </w:rPr>
        <w:t>Progressioni orizzontali e verticali: cosa sono?</w:t>
      </w:r>
    </w:p>
    <w:p w:rsidR="002D6A42" w:rsidRPr="002D6A42" w:rsidRDefault="002D6A42" w:rsidP="002D6A42">
      <w:pPr>
        <w:shd w:val="clear" w:color="auto" w:fill="FFFFFF"/>
        <w:spacing w:before="150" w:after="240"/>
        <w:jc w:val="both"/>
        <w:rPr>
          <w:rFonts w:ascii="Arial" w:eastAsia="Times New Roman" w:hAnsi="Arial" w:cs="Arial"/>
          <w:color w:val="393939"/>
          <w:szCs w:val="24"/>
          <w:lang w:eastAsia="it-IT"/>
        </w:rPr>
      </w:pPr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Le </w:t>
      </w:r>
      <w:r w:rsidRPr="002D6A42">
        <w:rPr>
          <w:rFonts w:ascii="Arial" w:eastAsia="Times New Roman" w:hAnsi="Arial" w:cs="Arial"/>
          <w:b/>
          <w:bCs/>
          <w:color w:val="393939"/>
          <w:szCs w:val="24"/>
          <w:lang w:eastAsia="it-IT"/>
        </w:rPr>
        <w:t>Progressioni Economiche Orizzontali</w:t>
      </w:r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 costituiscono dunque un sistema di avanzamento all’interno di ciascuna categoria. Più di preciso si tratta dell’attribuzione di uno stipendio più alto a parità di prestazioni lavorative. (</w:t>
      </w:r>
      <w:hyperlink r:id="rId6" w:tgtFrame="_blank" w:history="1">
        <w:r w:rsidRPr="002D6A42">
          <w:rPr>
            <w:rFonts w:ascii="Arial" w:eastAsia="Times New Roman" w:hAnsi="Arial" w:cs="Arial"/>
            <w:color w:val="205C90"/>
            <w:szCs w:val="24"/>
            <w:u w:val="single"/>
            <w:lang w:eastAsia="it-IT"/>
          </w:rPr>
          <w:t>Maggiori informazioni qui</w:t>
        </w:r>
      </w:hyperlink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).</w:t>
      </w:r>
    </w:p>
    <w:p w:rsidR="002D6A42" w:rsidRPr="002D6A42" w:rsidRDefault="002D6A42" w:rsidP="002D6A42">
      <w:pPr>
        <w:shd w:val="clear" w:color="auto" w:fill="FFFFFF"/>
        <w:spacing w:before="150" w:after="240"/>
        <w:jc w:val="both"/>
        <w:rPr>
          <w:rFonts w:ascii="Arial" w:eastAsia="Times New Roman" w:hAnsi="Arial" w:cs="Arial"/>
          <w:color w:val="393939"/>
          <w:szCs w:val="24"/>
          <w:lang w:eastAsia="it-IT"/>
        </w:rPr>
      </w:pPr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Invece le </w:t>
      </w:r>
      <w:r w:rsidRPr="002D6A42">
        <w:rPr>
          <w:rFonts w:ascii="Arial" w:eastAsia="Times New Roman" w:hAnsi="Arial" w:cs="Arial"/>
          <w:b/>
          <w:bCs/>
          <w:color w:val="393939"/>
          <w:szCs w:val="24"/>
          <w:lang w:eastAsia="it-IT"/>
        </w:rPr>
        <w:t>Progressioni Verticali</w:t>
      </w:r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 consistono in un percorso di sviluppo professionale, riservato ai dipendenti dell’amministrazione, che prevede il passaggio da una categoria alla categoria superiore e si attua attraverso procedure di selezione interna.</w:t>
      </w:r>
    </w:p>
    <w:p w:rsidR="002D6A42" w:rsidRPr="002D6A42" w:rsidRDefault="002D6A42" w:rsidP="002D6A42">
      <w:pPr>
        <w:shd w:val="clear" w:color="auto" w:fill="FFFFFF"/>
        <w:spacing w:before="199" w:after="199" w:line="360" w:lineRule="atLeast"/>
        <w:jc w:val="both"/>
        <w:outlineLvl w:val="1"/>
        <w:rPr>
          <w:rFonts w:ascii="Arial" w:eastAsia="Times New Roman" w:hAnsi="Arial" w:cs="Arial"/>
          <w:color w:val="444444"/>
          <w:spacing w:val="-12"/>
          <w:sz w:val="26"/>
          <w:szCs w:val="26"/>
          <w:lang w:eastAsia="it-IT"/>
        </w:rPr>
      </w:pPr>
      <w:r w:rsidRPr="002D6A42">
        <w:rPr>
          <w:rFonts w:ascii="Arial" w:eastAsia="Times New Roman" w:hAnsi="Arial" w:cs="Arial"/>
          <w:color w:val="444444"/>
          <w:spacing w:val="-12"/>
          <w:sz w:val="26"/>
          <w:szCs w:val="26"/>
          <w:lang w:eastAsia="it-IT"/>
        </w:rPr>
        <w:t>Decreto Reclutamento: nuova disciplina per progressioni orizzontali e verticali</w:t>
      </w:r>
    </w:p>
    <w:p w:rsidR="002D6A42" w:rsidRPr="002D6A42" w:rsidRDefault="002D6A42" w:rsidP="002D6A42">
      <w:pPr>
        <w:shd w:val="clear" w:color="auto" w:fill="FFFFFF"/>
        <w:spacing w:before="150" w:after="240"/>
        <w:jc w:val="both"/>
        <w:rPr>
          <w:rFonts w:ascii="Arial" w:eastAsia="Times New Roman" w:hAnsi="Arial" w:cs="Arial"/>
          <w:color w:val="393939"/>
          <w:szCs w:val="24"/>
          <w:lang w:eastAsia="it-IT"/>
        </w:rPr>
      </w:pPr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Ma cosa cambia nel nuovo Decreto? E quali sono le novità che interessano da vicino i Dipendenti Pubblici?</w:t>
      </w:r>
    </w:p>
    <w:p w:rsidR="002D6A42" w:rsidRPr="002D6A42" w:rsidRDefault="002D6A42" w:rsidP="002D6A42">
      <w:pPr>
        <w:shd w:val="clear" w:color="auto" w:fill="FFFFFF"/>
        <w:spacing w:before="150" w:after="240"/>
        <w:jc w:val="both"/>
        <w:rPr>
          <w:rFonts w:ascii="Arial" w:eastAsia="Times New Roman" w:hAnsi="Arial" w:cs="Arial"/>
          <w:color w:val="393939"/>
          <w:szCs w:val="24"/>
          <w:lang w:eastAsia="it-IT"/>
        </w:rPr>
      </w:pPr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Qui di seguito tracciamo in sintesi le novità punto per punto.</w:t>
      </w:r>
    </w:p>
    <w:p w:rsidR="002D6A42" w:rsidRPr="002D6A42" w:rsidRDefault="002D6A42" w:rsidP="002D6A42">
      <w:pPr>
        <w:shd w:val="clear" w:color="auto" w:fill="FFFFFF"/>
        <w:spacing w:before="240" w:after="240" w:line="360" w:lineRule="atLeast"/>
        <w:jc w:val="both"/>
        <w:outlineLvl w:val="2"/>
        <w:rPr>
          <w:rFonts w:ascii="Arial" w:eastAsia="Times New Roman" w:hAnsi="Arial" w:cs="Arial"/>
          <w:color w:val="444444"/>
          <w:szCs w:val="24"/>
          <w:lang w:eastAsia="it-IT"/>
        </w:rPr>
      </w:pPr>
      <w:r w:rsidRPr="002D6A42">
        <w:rPr>
          <w:rFonts w:ascii="Arial" w:eastAsia="Times New Roman" w:hAnsi="Arial" w:cs="Arial"/>
          <w:color w:val="444444"/>
          <w:szCs w:val="24"/>
          <w:lang w:eastAsia="it-IT"/>
        </w:rPr>
        <w:t>Progressioni verticali</w:t>
      </w:r>
    </w:p>
    <w:p w:rsidR="002D6A42" w:rsidRPr="002D6A42" w:rsidRDefault="002D6A42" w:rsidP="002D6A42">
      <w:pPr>
        <w:shd w:val="clear" w:color="auto" w:fill="FFFFFF"/>
        <w:spacing w:before="150" w:after="240"/>
        <w:jc w:val="both"/>
        <w:rPr>
          <w:rFonts w:ascii="Arial" w:eastAsia="Times New Roman" w:hAnsi="Arial" w:cs="Arial"/>
          <w:color w:val="393939"/>
          <w:szCs w:val="24"/>
          <w:lang w:eastAsia="it-IT"/>
        </w:rPr>
      </w:pPr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Per quanto riguarda la “mobilità verticale” sono previsti adesso percorsi di crescita per il personale della Pubblica amministrazione nell’ambito dei quali sono valorizzate:</w:t>
      </w:r>
    </w:p>
    <w:p w:rsidR="002D6A42" w:rsidRPr="002D6A42" w:rsidRDefault="002D6A42" w:rsidP="002D6A42">
      <w:pPr>
        <w:numPr>
          <w:ilvl w:val="0"/>
          <w:numId w:val="1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Cs w:val="24"/>
          <w:lang w:eastAsia="it-IT"/>
        </w:rPr>
      </w:pPr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non soltanto le </w:t>
      </w:r>
      <w:r w:rsidRPr="002D6A42">
        <w:rPr>
          <w:rFonts w:ascii="Arial" w:eastAsia="Times New Roman" w:hAnsi="Arial" w:cs="Arial"/>
          <w:b/>
          <w:bCs/>
          <w:color w:val="393939"/>
          <w:szCs w:val="24"/>
          <w:lang w:eastAsia="it-IT"/>
        </w:rPr>
        <w:t>conoscenze tecniche</w:t>
      </w:r>
    </w:p>
    <w:p w:rsidR="002D6A42" w:rsidRPr="002D6A42" w:rsidRDefault="002D6A42" w:rsidP="002D6A42">
      <w:pPr>
        <w:numPr>
          <w:ilvl w:val="0"/>
          <w:numId w:val="1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Cs w:val="24"/>
          <w:lang w:eastAsia="it-IT"/>
        </w:rPr>
      </w:pPr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ma anche le </w:t>
      </w:r>
      <w:r w:rsidRPr="002D6A42">
        <w:rPr>
          <w:rFonts w:ascii="Arial" w:eastAsia="Times New Roman" w:hAnsi="Arial" w:cs="Arial"/>
          <w:b/>
          <w:bCs/>
          <w:color w:val="393939"/>
          <w:szCs w:val="24"/>
          <w:lang w:eastAsia="it-IT"/>
        </w:rPr>
        <w:t>competenze di carattere trasversale</w:t>
      </w:r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 (manageriale, gestionale, ecc.) che il dipendente abbia maturato nel corso della propria attività lavorativa.</w:t>
      </w:r>
    </w:p>
    <w:p w:rsidR="002D6A42" w:rsidRPr="002D6A42" w:rsidRDefault="002D6A42" w:rsidP="002D6A42">
      <w:pPr>
        <w:shd w:val="clear" w:color="auto" w:fill="FFFFFF"/>
        <w:spacing w:before="150" w:after="240"/>
        <w:jc w:val="both"/>
        <w:rPr>
          <w:rFonts w:ascii="Arial" w:eastAsia="Times New Roman" w:hAnsi="Arial" w:cs="Arial"/>
          <w:color w:val="393939"/>
          <w:szCs w:val="24"/>
          <w:lang w:eastAsia="it-IT"/>
        </w:rPr>
      </w:pPr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Per le progressioni tra le aree, il decreto ribadisce l’obbligo dell’adeguato accesso dall’esterno ai posti pubblici (il 50% delle posizioni disponibili).</w:t>
      </w:r>
    </w:p>
    <w:p w:rsidR="002D6A42" w:rsidRPr="002D6A42" w:rsidRDefault="002D6A42" w:rsidP="002D6A42">
      <w:pPr>
        <w:shd w:val="clear" w:color="auto" w:fill="FFFFFF"/>
        <w:spacing w:before="150" w:after="240"/>
        <w:jc w:val="both"/>
        <w:rPr>
          <w:rFonts w:ascii="Arial" w:eastAsia="Times New Roman" w:hAnsi="Arial" w:cs="Arial"/>
          <w:color w:val="393939"/>
          <w:szCs w:val="24"/>
          <w:lang w:eastAsia="it-IT"/>
        </w:rPr>
      </w:pPr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Per le progressioni verticali non si deve più ricorrere alla riserva nei concorsi pubblici, ma viene attivata una procedura interna comparativa che non richiede il superamento di prove particolari e che si basa sull’analisi di una serie di fattori:</w:t>
      </w:r>
    </w:p>
    <w:p w:rsidR="002D6A42" w:rsidRPr="002D6A42" w:rsidRDefault="002D6A42" w:rsidP="002D6A42">
      <w:pPr>
        <w:numPr>
          <w:ilvl w:val="0"/>
          <w:numId w:val="2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Cs w:val="24"/>
          <w:lang w:eastAsia="it-IT"/>
        </w:rPr>
      </w:pPr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la valutazione dell’ultimo triennio</w:t>
      </w:r>
    </w:p>
    <w:p w:rsidR="002D6A42" w:rsidRPr="002D6A42" w:rsidRDefault="002D6A42" w:rsidP="002D6A42">
      <w:pPr>
        <w:numPr>
          <w:ilvl w:val="0"/>
          <w:numId w:val="2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Cs w:val="24"/>
          <w:lang w:eastAsia="it-IT"/>
        </w:rPr>
      </w:pPr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l’assenza di procedimenti disciplinari</w:t>
      </w:r>
    </w:p>
    <w:p w:rsidR="002D6A42" w:rsidRPr="002D6A42" w:rsidRDefault="002D6A42" w:rsidP="002D6A42">
      <w:pPr>
        <w:numPr>
          <w:ilvl w:val="0"/>
          <w:numId w:val="2"/>
        </w:numPr>
        <w:shd w:val="clear" w:color="auto" w:fill="FFFFFF"/>
        <w:spacing w:before="100" w:beforeAutospacing="1" w:after="60" w:line="360" w:lineRule="atLeast"/>
        <w:ind w:left="480"/>
        <w:jc w:val="both"/>
        <w:rPr>
          <w:rFonts w:ascii="Arial" w:eastAsia="Times New Roman" w:hAnsi="Arial" w:cs="Arial"/>
          <w:color w:val="393939"/>
          <w:szCs w:val="24"/>
          <w:lang w:eastAsia="it-IT"/>
        </w:rPr>
      </w:pPr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lastRenderedPageBreak/>
        <w:t>i titoli professionali e di studio (oltre a quello richiesto per l’accesso e gli incarichi attribuiti).</w:t>
      </w:r>
    </w:p>
    <w:p w:rsidR="002D6A42" w:rsidRPr="002D6A42" w:rsidRDefault="002D6A42" w:rsidP="002D6A42">
      <w:pPr>
        <w:shd w:val="clear" w:color="auto" w:fill="FFFFFF"/>
        <w:spacing w:before="240" w:after="240" w:line="360" w:lineRule="atLeast"/>
        <w:jc w:val="both"/>
        <w:outlineLvl w:val="2"/>
        <w:rPr>
          <w:rFonts w:ascii="Arial" w:eastAsia="Times New Roman" w:hAnsi="Arial" w:cs="Arial"/>
          <w:color w:val="444444"/>
          <w:szCs w:val="24"/>
          <w:lang w:eastAsia="it-IT"/>
        </w:rPr>
      </w:pPr>
      <w:r w:rsidRPr="002D6A42">
        <w:rPr>
          <w:rFonts w:ascii="Arial" w:eastAsia="Times New Roman" w:hAnsi="Arial" w:cs="Arial"/>
          <w:color w:val="444444"/>
          <w:szCs w:val="24"/>
          <w:lang w:eastAsia="it-IT"/>
        </w:rPr>
        <w:t>Progressioni orizzontali</w:t>
      </w:r>
    </w:p>
    <w:p w:rsidR="002D6A42" w:rsidRPr="002D6A42" w:rsidRDefault="002D6A42" w:rsidP="002D6A42">
      <w:pPr>
        <w:shd w:val="clear" w:color="auto" w:fill="FFFFFF"/>
        <w:spacing w:before="150" w:after="240"/>
        <w:jc w:val="both"/>
        <w:rPr>
          <w:rFonts w:ascii="Arial" w:eastAsia="Times New Roman" w:hAnsi="Arial" w:cs="Arial"/>
          <w:color w:val="393939"/>
          <w:szCs w:val="24"/>
          <w:lang w:eastAsia="it-IT"/>
        </w:rPr>
      </w:pPr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Invece, per quel che riguarda la “mobilità orizzontale” potranno esercitare i nulla osta tra amministrazioni soltanto gli enti con una</w:t>
      </w:r>
      <w:r w:rsidRPr="002D6A42">
        <w:rPr>
          <w:rFonts w:ascii="Arial" w:eastAsia="Times New Roman" w:hAnsi="Arial" w:cs="Arial"/>
          <w:b/>
          <w:bCs/>
          <w:color w:val="393939"/>
          <w:szCs w:val="24"/>
          <w:lang w:eastAsia="it-IT"/>
        </w:rPr>
        <w:t> scopertura di organico superiore al 20%</w:t>
      </w:r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, con l’esclusione del personale della scuola, della sanità e di quello in regime di diritto pubblico (sicurezza, magistratura, diplomazia).</w:t>
      </w:r>
    </w:p>
    <w:p w:rsidR="002D6A42" w:rsidRPr="002D6A42" w:rsidRDefault="002D6A42" w:rsidP="002D6A42">
      <w:pPr>
        <w:shd w:val="clear" w:color="auto" w:fill="FFFFFF"/>
        <w:spacing w:before="150" w:after="240"/>
        <w:jc w:val="both"/>
        <w:rPr>
          <w:rFonts w:ascii="Arial" w:eastAsia="Times New Roman" w:hAnsi="Arial" w:cs="Arial"/>
          <w:color w:val="393939"/>
          <w:szCs w:val="24"/>
          <w:lang w:eastAsia="it-IT"/>
        </w:rPr>
      </w:pPr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Inoltre, all’interno della stessa area, per la progressione orizzontale, va rispettato il criterio della selettività, già presente in passato, ossia, la progressione va riservata ad una quota non superiore al 50% degli aventi diritto.</w:t>
      </w:r>
    </w:p>
    <w:p w:rsidR="002D6A42" w:rsidRPr="002D6A42" w:rsidRDefault="002D6A42" w:rsidP="002D6A42">
      <w:pPr>
        <w:shd w:val="clear" w:color="auto" w:fill="FFFFFF"/>
        <w:spacing w:before="240" w:after="240" w:line="360" w:lineRule="atLeast"/>
        <w:jc w:val="both"/>
        <w:outlineLvl w:val="2"/>
        <w:rPr>
          <w:rFonts w:ascii="Arial" w:eastAsia="Times New Roman" w:hAnsi="Arial" w:cs="Arial"/>
          <w:color w:val="444444"/>
          <w:szCs w:val="24"/>
          <w:lang w:eastAsia="it-IT"/>
        </w:rPr>
      </w:pPr>
      <w:r w:rsidRPr="002D6A42">
        <w:rPr>
          <w:rFonts w:ascii="Arial" w:eastAsia="Times New Roman" w:hAnsi="Arial" w:cs="Arial"/>
          <w:color w:val="444444"/>
          <w:szCs w:val="24"/>
          <w:lang w:eastAsia="it-IT"/>
        </w:rPr>
        <w:t>Tetti di spesa al trattamento economico accessorio</w:t>
      </w:r>
    </w:p>
    <w:p w:rsidR="002D6A42" w:rsidRPr="002D6A42" w:rsidRDefault="002D6A42" w:rsidP="002D6A42">
      <w:pPr>
        <w:shd w:val="clear" w:color="auto" w:fill="FFFFFF"/>
        <w:spacing w:before="150" w:after="240"/>
        <w:jc w:val="both"/>
        <w:rPr>
          <w:rFonts w:ascii="Arial" w:eastAsia="Times New Roman" w:hAnsi="Arial" w:cs="Arial"/>
          <w:color w:val="393939"/>
          <w:szCs w:val="24"/>
          <w:lang w:eastAsia="it-IT"/>
        </w:rPr>
      </w:pPr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Infine, per quanto riguarda i </w:t>
      </w:r>
      <w:r w:rsidRPr="002D6A42">
        <w:rPr>
          <w:rFonts w:ascii="Arial" w:eastAsia="Times New Roman" w:hAnsi="Arial" w:cs="Arial"/>
          <w:b/>
          <w:bCs/>
          <w:color w:val="393939"/>
          <w:szCs w:val="24"/>
          <w:lang w:eastAsia="it-IT"/>
        </w:rPr>
        <w:t>tetti di spesa relativi al trattamento economico accessorio</w:t>
      </w:r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 potranno essere superati secondo criteri e modalità da definire nei contratti collettivi nazionali di lavoro e compatibilmente con il raggiungimento degli obiettivi di finanza pubblica.</w:t>
      </w:r>
    </w:p>
    <w:p w:rsidR="002D6A42" w:rsidRPr="002D6A42" w:rsidRDefault="002D6A42" w:rsidP="002D6A42">
      <w:pPr>
        <w:shd w:val="clear" w:color="auto" w:fill="FFFFFF"/>
        <w:spacing w:before="150" w:after="240"/>
        <w:jc w:val="both"/>
        <w:rPr>
          <w:rFonts w:ascii="Arial" w:eastAsia="Times New Roman" w:hAnsi="Arial" w:cs="Arial"/>
          <w:color w:val="393939"/>
          <w:szCs w:val="24"/>
          <w:lang w:eastAsia="it-IT"/>
        </w:rPr>
      </w:pPr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Il decreto recepisce così</w:t>
      </w:r>
      <w:r>
        <w:rPr>
          <w:rFonts w:ascii="Arial" w:eastAsia="Times New Roman" w:hAnsi="Arial" w:cs="Arial"/>
          <w:color w:val="393939"/>
          <w:szCs w:val="24"/>
          <w:lang w:eastAsia="it-IT"/>
        </w:rPr>
        <w:t xml:space="preserve"> </w:t>
      </w:r>
      <w:bookmarkStart w:id="0" w:name="_GoBack"/>
      <w:bookmarkEnd w:id="0"/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l’impegno assunto dal Governo nell’ambito del </w:t>
      </w:r>
      <w:hyperlink r:id="rId7" w:tgtFrame="_blank" w:history="1">
        <w:r w:rsidRPr="002D6A42">
          <w:rPr>
            <w:rFonts w:ascii="Arial" w:eastAsia="Times New Roman" w:hAnsi="Arial" w:cs="Arial"/>
            <w:color w:val="205C90"/>
            <w:szCs w:val="24"/>
            <w:u w:val="single"/>
            <w:lang w:eastAsia="it-IT"/>
          </w:rPr>
          <w:t>Patto per l’Innovazione del lavoro pubblico</w:t>
        </w:r>
      </w:hyperlink>
      <w:r w:rsidRPr="002D6A42">
        <w:rPr>
          <w:rFonts w:ascii="Arial" w:eastAsia="Times New Roman" w:hAnsi="Arial" w:cs="Arial"/>
          <w:color w:val="393939"/>
          <w:szCs w:val="24"/>
          <w:lang w:eastAsia="it-IT"/>
        </w:rPr>
        <w:t> e per la coesione sociale sottoscritto dal Presidente Draghi e dal Ministro Brunetta con i sindacati lo scorso 10 marzo.</w:t>
      </w:r>
    </w:p>
    <w:p w:rsidR="008468BC" w:rsidRDefault="008468BC"/>
    <w:sectPr w:rsidR="00846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304"/>
    <w:multiLevelType w:val="multilevel"/>
    <w:tmpl w:val="7488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A116F1"/>
    <w:multiLevelType w:val="multilevel"/>
    <w:tmpl w:val="9310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42"/>
    <w:rsid w:val="002D6A42"/>
    <w:rsid w:val="0084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B6E4"/>
  <w15:chartTrackingRefBased/>
  <w15:docId w15:val="{E3433C36-E749-4083-A4A0-DC0A09C9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5080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ntepubblica.it/personale-e-previdenza/draghi-brunetta-patto-pubblico-impie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ntepubblica.it/personale-e-previdenza/progressioni-economiche-orizzontali-dipendenti-pubblici/" TargetMode="External"/><Relationship Id="rId5" Type="http://schemas.openxmlformats.org/officeDocument/2006/relationships/hyperlink" Target="https://www.lentepubblica.it/personale-e-previdenza/decreto-reclutamento-assunzioni-p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Tullio</dc:creator>
  <cp:keywords/>
  <dc:description/>
  <cp:lastModifiedBy>Tullio</cp:lastModifiedBy>
  <cp:revision>1</cp:revision>
  <dcterms:created xsi:type="dcterms:W3CDTF">2021-06-16T07:41:00Z</dcterms:created>
  <dcterms:modified xsi:type="dcterms:W3CDTF">2021-06-16T07:42:00Z</dcterms:modified>
</cp:coreProperties>
</file>