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88D" w:rsidRPr="00B5488D" w:rsidRDefault="00B5488D" w:rsidP="00B5488D">
      <w:pPr>
        <w:spacing w:after="15"/>
        <w:ind w:left="-225" w:right="-225"/>
        <w:outlineLvl w:val="1"/>
        <w:rPr>
          <w:rFonts w:ascii="Tinos" w:eastAsia="Times New Roman" w:hAnsi="Tinos" w:cs="Times New Roman"/>
          <w:b/>
          <w:bCs/>
          <w:color w:val="666666"/>
          <w:sz w:val="27"/>
          <w:szCs w:val="27"/>
          <w:lang w:eastAsia="it-IT"/>
        </w:rPr>
      </w:pPr>
      <w:r w:rsidRPr="00B5488D">
        <w:rPr>
          <w:rFonts w:ascii="Tinos" w:eastAsia="Times New Roman" w:hAnsi="Tinos" w:cs="Times New Roman"/>
          <w:b/>
          <w:bCs/>
          <w:color w:val="666666"/>
          <w:sz w:val="27"/>
          <w:szCs w:val="27"/>
          <w:lang w:eastAsia="it-IT"/>
        </w:rPr>
        <w:t>martedì 28 dicembre 2021</w:t>
      </w:r>
    </w:p>
    <w:p w:rsidR="00B5488D" w:rsidRPr="00B5488D" w:rsidRDefault="00B5488D" w:rsidP="00B5488D">
      <w:pPr>
        <w:outlineLvl w:val="2"/>
        <w:rPr>
          <w:rFonts w:ascii="Tinos" w:eastAsia="Times New Roman" w:hAnsi="Tinos" w:cs="Arial"/>
          <w:b/>
          <w:bCs/>
          <w:color w:val="351C75"/>
          <w:sz w:val="36"/>
          <w:szCs w:val="36"/>
          <w:lang w:eastAsia="it-IT"/>
        </w:rPr>
      </w:pPr>
      <w:bookmarkStart w:id="0" w:name="4032364085248486501"/>
      <w:bookmarkStart w:id="1" w:name="_GoBack"/>
      <w:bookmarkEnd w:id="0"/>
      <w:r w:rsidRPr="00B5488D">
        <w:rPr>
          <w:rFonts w:ascii="Tinos" w:eastAsia="Times New Roman" w:hAnsi="Tinos" w:cs="Arial"/>
          <w:b/>
          <w:bCs/>
          <w:color w:val="351C75"/>
          <w:sz w:val="36"/>
          <w:szCs w:val="36"/>
          <w:lang w:eastAsia="it-IT"/>
        </w:rPr>
        <w:t>Progressioni verticali. L'anzianità soppianta il titolo di studio</w:t>
      </w:r>
      <w:bookmarkEnd w:id="1"/>
      <w:r w:rsidRPr="00B5488D">
        <w:rPr>
          <w:rFonts w:ascii="Tinos" w:eastAsia="Times New Roman" w:hAnsi="Tinos" w:cs="Arial"/>
          <w:b/>
          <w:bCs/>
          <w:color w:val="351C75"/>
          <w:sz w:val="36"/>
          <w:szCs w:val="36"/>
          <w:lang w:eastAsia="it-IT"/>
        </w:rPr>
        <w:t xml:space="preserve">. Ma il </w:t>
      </w:r>
      <w:proofErr w:type="spellStart"/>
      <w:r w:rsidRPr="00B5488D">
        <w:rPr>
          <w:rFonts w:ascii="Tinos" w:eastAsia="Times New Roman" w:hAnsi="Tinos" w:cs="Arial"/>
          <w:b/>
          <w:bCs/>
          <w:color w:val="351C75"/>
          <w:sz w:val="36"/>
          <w:szCs w:val="36"/>
          <w:lang w:eastAsia="it-IT"/>
        </w:rPr>
        <w:t>Ccnl</w:t>
      </w:r>
      <w:proofErr w:type="spellEnd"/>
      <w:r w:rsidRPr="00B5488D">
        <w:rPr>
          <w:rFonts w:ascii="Tinos" w:eastAsia="Times New Roman" w:hAnsi="Tinos" w:cs="Arial"/>
          <w:b/>
          <w:bCs/>
          <w:color w:val="351C75"/>
          <w:sz w:val="36"/>
          <w:szCs w:val="36"/>
          <w:lang w:eastAsia="it-IT"/>
        </w:rPr>
        <w:t xml:space="preserve"> non può disciplinare le procedure di reclutamento.</w:t>
      </w:r>
    </w:p>
    <w:p w:rsidR="00B5488D" w:rsidRPr="00B5488D" w:rsidRDefault="00B5488D" w:rsidP="00B5488D">
      <w:pPr>
        <w:spacing w:before="100" w:beforeAutospacing="1" w:after="100" w:afterAutospacing="1"/>
        <w:rPr>
          <w:rFonts w:ascii="Tinos" w:eastAsia="Times New Roman" w:hAnsi="Tinos" w:cs="Arial"/>
          <w:color w:val="333333"/>
          <w:sz w:val="31"/>
          <w:szCs w:val="31"/>
          <w:lang w:eastAsia="it-IT"/>
        </w:rPr>
      </w:pPr>
      <w:r w:rsidRPr="00B5488D">
        <w:rPr>
          <w:rFonts w:ascii="Tinos" w:eastAsia="Times New Roman" w:hAnsi="Tinos" w:cs="Arial"/>
          <w:color w:val="333333"/>
          <w:sz w:val="31"/>
          <w:szCs w:val="31"/>
          <w:lang w:eastAsia="it-IT"/>
        </w:rPr>
        <w:t>Estensioni delle progressioni verticali anche ai dipendenti privi del titolo di studio che sarebbe necessario per l’inquadramento derivante dalla partecipazione ad un concorso pubblico.</w:t>
      </w:r>
    </w:p>
    <w:p w:rsidR="00B5488D" w:rsidRPr="00B5488D" w:rsidRDefault="00B5488D" w:rsidP="00B5488D">
      <w:pPr>
        <w:spacing w:before="100" w:beforeAutospacing="1" w:after="100" w:afterAutospacing="1"/>
        <w:rPr>
          <w:rFonts w:ascii="Tinos" w:eastAsia="Times New Roman" w:hAnsi="Tinos" w:cs="Arial"/>
          <w:color w:val="333333"/>
          <w:sz w:val="31"/>
          <w:szCs w:val="31"/>
          <w:lang w:eastAsia="it-IT"/>
        </w:rPr>
      </w:pPr>
      <w:bookmarkStart w:id="2" w:name="more"/>
      <w:bookmarkEnd w:id="2"/>
      <w:r w:rsidRPr="00B5488D">
        <w:rPr>
          <w:rFonts w:ascii="Tinos" w:eastAsia="Times New Roman" w:hAnsi="Tinos" w:cs="Arial"/>
          <w:color w:val="333333"/>
          <w:sz w:val="31"/>
          <w:szCs w:val="31"/>
          <w:lang w:eastAsia="it-IT"/>
        </w:rPr>
        <w:t xml:space="preserve">La </w:t>
      </w:r>
      <w:proofErr w:type="spellStart"/>
      <w:r w:rsidRPr="00B5488D">
        <w:rPr>
          <w:rFonts w:ascii="Tinos" w:eastAsia="Times New Roman" w:hAnsi="Tinos" w:cs="Arial"/>
          <w:color w:val="333333"/>
          <w:sz w:val="31"/>
          <w:szCs w:val="31"/>
          <w:lang w:eastAsia="it-IT"/>
        </w:rPr>
        <w:t>preintesa</w:t>
      </w:r>
      <w:proofErr w:type="spellEnd"/>
      <w:r w:rsidRPr="00B5488D">
        <w:rPr>
          <w:rFonts w:ascii="Tinos" w:eastAsia="Times New Roman" w:hAnsi="Tinos" w:cs="Arial"/>
          <w:color w:val="333333"/>
          <w:sz w:val="31"/>
          <w:szCs w:val="31"/>
          <w:lang w:eastAsia="it-IT"/>
        </w:rPr>
        <w:t xml:space="preserve"> del </w:t>
      </w:r>
      <w:proofErr w:type="spellStart"/>
      <w:r w:rsidRPr="00B5488D">
        <w:rPr>
          <w:rFonts w:ascii="Tinos" w:eastAsia="Times New Roman" w:hAnsi="Tinos" w:cs="Arial"/>
          <w:color w:val="333333"/>
          <w:sz w:val="31"/>
          <w:szCs w:val="31"/>
          <w:lang w:eastAsia="it-IT"/>
        </w:rPr>
        <w:t>Ccnl</w:t>
      </w:r>
      <w:proofErr w:type="spellEnd"/>
      <w:r w:rsidRPr="00B5488D">
        <w:rPr>
          <w:rFonts w:ascii="Tinos" w:eastAsia="Times New Roman" w:hAnsi="Tinos" w:cs="Arial"/>
          <w:color w:val="333333"/>
          <w:sz w:val="31"/>
          <w:szCs w:val="31"/>
          <w:lang w:eastAsia="it-IT"/>
        </w:rPr>
        <w:t xml:space="preserve"> del comparto Funzioni Locali evita il rischio di una serie di promozioni automatiche, ma torna al passato, riaprendo le porte delle promozioni da un’area a quella superiore anche a chi non dispone del necessario titolo di studio.</w:t>
      </w:r>
    </w:p>
    <w:p w:rsidR="00B5488D" w:rsidRPr="00B5488D" w:rsidRDefault="00B5488D" w:rsidP="00B5488D">
      <w:pPr>
        <w:spacing w:before="100" w:beforeAutospacing="1" w:after="100" w:afterAutospacing="1"/>
        <w:rPr>
          <w:rFonts w:ascii="Tinos" w:eastAsia="Times New Roman" w:hAnsi="Tinos" w:cs="Arial"/>
          <w:color w:val="333333"/>
          <w:sz w:val="31"/>
          <w:szCs w:val="31"/>
          <w:lang w:eastAsia="it-IT"/>
        </w:rPr>
      </w:pPr>
      <w:r w:rsidRPr="00B5488D">
        <w:rPr>
          <w:rFonts w:ascii="Tinos" w:eastAsia="Times New Roman" w:hAnsi="Tinos" w:cs="Arial"/>
          <w:color w:val="333333"/>
          <w:sz w:val="31"/>
          <w:szCs w:val="31"/>
          <w:lang w:eastAsia="it-IT"/>
        </w:rPr>
        <w:t xml:space="preserve">Si attua, infatti, in maniera articolata e complessa l’articolo 52, comma 1-bis, penultimo periodo, del </w:t>
      </w:r>
      <w:proofErr w:type="spellStart"/>
      <w:r w:rsidRPr="00B5488D">
        <w:rPr>
          <w:rFonts w:ascii="Tinos" w:eastAsia="Times New Roman" w:hAnsi="Tinos" w:cs="Arial"/>
          <w:color w:val="333333"/>
          <w:sz w:val="31"/>
          <w:szCs w:val="31"/>
          <w:lang w:eastAsia="it-IT"/>
        </w:rPr>
        <w:t>d.lgs</w:t>
      </w:r>
      <w:proofErr w:type="spellEnd"/>
      <w:r w:rsidRPr="00B5488D">
        <w:rPr>
          <w:rFonts w:ascii="Tinos" w:eastAsia="Times New Roman" w:hAnsi="Tinos" w:cs="Arial"/>
          <w:color w:val="333333"/>
          <w:sz w:val="31"/>
          <w:szCs w:val="31"/>
          <w:lang w:eastAsia="it-IT"/>
        </w:rPr>
        <w:t xml:space="preserve"> 165/2001, come modificata dal </w:t>
      </w:r>
      <w:proofErr w:type="spellStart"/>
      <w:r w:rsidRPr="00B5488D">
        <w:rPr>
          <w:rFonts w:ascii="Tinos" w:eastAsia="Times New Roman" w:hAnsi="Tinos" w:cs="Arial"/>
          <w:color w:val="333333"/>
          <w:sz w:val="31"/>
          <w:szCs w:val="31"/>
          <w:lang w:eastAsia="it-IT"/>
        </w:rPr>
        <w:t>d.l.</w:t>
      </w:r>
      <w:proofErr w:type="spellEnd"/>
      <w:r w:rsidRPr="00B5488D">
        <w:rPr>
          <w:rFonts w:ascii="Tinos" w:eastAsia="Times New Roman" w:hAnsi="Tinos" w:cs="Arial"/>
          <w:color w:val="333333"/>
          <w:sz w:val="31"/>
          <w:szCs w:val="31"/>
          <w:lang w:eastAsia="it-IT"/>
        </w:rPr>
        <w:t xml:space="preserve"> 80/2021. Tale norma dispone: “</w:t>
      </w:r>
      <w:r w:rsidRPr="00B5488D">
        <w:rPr>
          <w:rFonts w:ascii="Tinos" w:eastAsia="Times New Roman" w:hAnsi="Tinos" w:cs="Arial"/>
          <w:i/>
          <w:iCs/>
          <w:color w:val="333333"/>
          <w:sz w:val="31"/>
          <w:szCs w:val="31"/>
          <w:lang w:eastAsia="it-IT"/>
        </w:rPr>
        <w:t>In sede di revisione degli ordinamenti professionali, i contratti collettivi nazionali di lavoro di comparto per il periodo 2019-2021 possono definire tabelle di corrispondenza tra vecchi e nuovi inquadramenti, ad esclusione dell'area di cui al secondo periodo, sulla base di requisiti di esperienza e professionalità maturate ed effettivamente utilizzate dall'amministrazione di appartenenza per almeno cinque anni, anche in deroga al possesso del titolo di studio richiesto per l'accesso all'area dall'esterno</w:t>
      </w:r>
      <w:r w:rsidRPr="00B5488D">
        <w:rPr>
          <w:rFonts w:ascii="Tinos" w:eastAsia="Times New Roman" w:hAnsi="Tinos" w:cs="Arial"/>
          <w:color w:val="333333"/>
          <w:sz w:val="31"/>
          <w:szCs w:val="31"/>
          <w:lang w:eastAsia="it-IT"/>
        </w:rPr>
        <w:t>”.</w:t>
      </w:r>
    </w:p>
    <w:p w:rsidR="00B5488D" w:rsidRPr="00B5488D" w:rsidRDefault="00B5488D" w:rsidP="00B5488D">
      <w:pPr>
        <w:spacing w:before="100" w:beforeAutospacing="1" w:after="100" w:afterAutospacing="1"/>
        <w:rPr>
          <w:rFonts w:ascii="Tinos" w:eastAsia="Times New Roman" w:hAnsi="Tinos" w:cs="Arial"/>
          <w:color w:val="333333"/>
          <w:sz w:val="31"/>
          <w:szCs w:val="31"/>
          <w:lang w:eastAsia="it-IT"/>
        </w:rPr>
      </w:pPr>
      <w:r w:rsidRPr="00B5488D">
        <w:rPr>
          <w:rFonts w:ascii="Tinos" w:eastAsia="Times New Roman" w:hAnsi="Tinos" w:cs="Arial"/>
          <w:color w:val="333333"/>
          <w:sz w:val="31"/>
          <w:szCs w:val="31"/>
          <w:lang w:eastAsia="it-IT"/>
        </w:rPr>
        <w:t xml:space="preserve">La Tabella 2 di revisione degli inquadramenti allegata alla </w:t>
      </w:r>
      <w:proofErr w:type="spellStart"/>
      <w:r w:rsidRPr="00B5488D">
        <w:rPr>
          <w:rFonts w:ascii="Tinos" w:eastAsia="Times New Roman" w:hAnsi="Tinos" w:cs="Arial"/>
          <w:color w:val="333333"/>
          <w:sz w:val="31"/>
          <w:szCs w:val="31"/>
          <w:lang w:eastAsia="it-IT"/>
        </w:rPr>
        <w:t>preintesa</w:t>
      </w:r>
      <w:proofErr w:type="spellEnd"/>
      <w:r w:rsidRPr="00B5488D">
        <w:rPr>
          <w:rFonts w:ascii="Tinos" w:eastAsia="Times New Roman" w:hAnsi="Tinos" w:cs="Arial"/>
          <w:color w:val="333333"/>
          <w:sz w:val="31"/>
          <w:szCs w:val="31"/>
          <w:lang w:eastAsia="it-IT"/>
        </w:rPr>
        <w:t xml:space="preserve"> non lascia intravedere la possibilità di promozioni automatiche da un’area all’altra. Nella sostanza i lavoratori inquadrati nelle vecchie prima area o area A, seconda area o area B, terza area o area C, passano tutti, qualsiasi sia la posizione economica, rispettivamente e in ordine delle nuove aree operatori, assistenti e funzionari.</w:t>
      </w:r>
    </w:p>
    <w:p w:rsidR="00B5488D" w:rsidRPr="00B5488D" w:rsidRDefault="00B5488D" w:rsidP="00B5488D">
      <w:pPr>
        <w:spacing w:before="100" w:beforeAutospacing="1" w:after="100" w:afterAutospacing="1"/>
        <w:rPr>
          <w:rFonts w:ascii="Tinos" w:eastAsia="Times New Roman" w:hAnsi="Tinos" w:cs="Arial"/>
          <w:color w:val="333333"/>
          <w:sz w:val="31"/>
          <w:szCs w:val="31"/>
          <w:lang w:eastAsia="it-IT"/>
        </w:rPr>
      </w:pPr>
      <w:r w:rsidRPr="00B5488D">
        <w:rPr>
          <w:rFonts w:ascii="Tinos" w:eastAsia="Times New Roman" w:hAnsi="Tinos" w:cs="Arial"/>
          <w:color w:val="333333"/>
          <w:sz w:val="31"/>
          <w:szCs w:val="31"/>
          <w:lang w:eastAsia="it-IT"/>
        </w:rPr>
        <w:t xml:space="preserve">L’articolo 18 della </w:t>
      </w:r>
      <w:proofErr w:type="spellStart"/>
      <w:r w:rsidRPr="00B5488D">
        <w:rPr>
          <w:rFonts w:ascii="Tinos" w:eastAsia="Times New Roman" w:hAnsi="Tinos" w:cs="Arial"/>
          <w:color w:val="333333"/>
          <w:sz w:val="31"/>
          <w:szCs w:val="31"/>
          <w:lang w:eastAsia="it-IT"/>
        </w:rPr>
        <w:t>preintesa</w:t>
      </w:r>
      <w:proofErr w:type="spellEnd"/>
      <w:r w:rsidRPr="00B5488D">
        <w:rPr>
          <w:rFonts w:ascii="Tinos" w:eastAsia="Times New Roman" w:hAnsi="Tinos" w:cs="Arial"/>
          <w:color w:val="333333"/>
          <w:sz w:val="31"/>
          <w:szCs w:val="31"/>
          <w:lang w:eastAsia="it-IT"/>
        </w:rPr>
        <w:t xml:space="preserve">, però, al comma 6 contiene una disposizione specificamente rivolta alle progressioni verticali nel periodo transitorio necessario per la prima applicazione del nuovo ordinamento, anche se la disposizione varrà comunque fino al 31.12.2024. Detto comma 6 enuncia di voler attuare quanto stabilito dall’articolo 52, comma 1-bis, penultimo periodo, del </w:t>
      </w:r>
      <w:proofErr w:type="spellStart"/>
      <w:r w:rsidRPr="00B5488D">
        <w:rPr>
          <w:rFonts w:ascii="Tinos" w:eastAsia="Times New Roman" w:hAnsi="Tinos" w:cs="Arial"/>
          <w:color w:val="333333"/>
          <w:sz w:val="31"/>
          <w:szCs w:val="31"/>
          <w:lang w:eastAsia="it-IT"/>
        </w:rPr>
        <w:t>d.lgs</w:t>
      </w:r>
      <w:proofErr w:type="spellEnd"/>
      <w:r w:rsidRPr="00B5488D">
        <w:rPr>
          <w:rFonts w:ascii="Tinos" w:eastAsia="Times New Roman" w:hAnsi="Tinos" w:cs="Arial"/>
          <w:color w:val="333333"/>
          <w:sz w:val="31"/>
          <w:szCs w:val="31"/>
          <w:lang w:eastAsia="it-IT"/>
        </w:rPr>
        <w:t xml:space="preserve"> 165/2001. Ma a ben vedere prevede qualcosa di differente. Infatti, non introduce </w:t>
      </w:r>
      <w:proofErr w:type="spellStart"/>
      <w:r w:rsidRPr="00B5488D">
        <w:rPr>
          <w:rFonts w:ascii="Tinos" w:eastAsia="Times New Roman" w:hAnsi="Tinos" w:cs="Arial"/>
          <w:color w:val="333333"/>
          <w:sz w:val="31"/>
          <w:szCs w:val="31"/>
          <w:lang w:eastAsia="it-IT"/>
        </w:rPr>
        <w:t>reinquadramenti</w:t>
      </w:r>
      <w:proofErr w:type="spellEnd"/>
      <w:r w:rsidRPr="00B5488D">
        <w:rPr>
          <w:rFonts w:ascii="Tinos" w:eastAsia="Times New Roman" w:hAnsi="Tinos" w:cs="Arial"/>
          <w:color w:val="333333"/>
          <w:sz w:val="31"/>
          <w:szCs w:val="31"/>
          <w:lang w:eastAsia="it-IT"/>
        </w:rPr>
        <w:t xml:space="preserve"> verso l’alto (passaggi da un’area più bassa ad una più elevata) come conseguenza del nuovo ordinamento professionale, bensì consente espressamente che fino appunto al 31.12.2024 </w:t>
      </w:r>
      <w:r w:rsidRPr="00B5488D">
        <w:rPr>
          <w:rFonts w:ascii="Tinos" w:eastAsia="Times New Roman" w:hAnsi="Tinos" w:cs="Arial"/>
          <w:color w:val="333333"/>
          <w:sz w:val="31"/>
          <w:szCs w:val="31"/>
          <w:lang w:eastAsia="it-IT"/>
        </w:rPr>
        <w:lastRenderedPageBreak/>
        <w:t>“</w:t>
      </w:r>
      <w:r w:rsidRPr="00B5488D">
        <w:rPr>
          <w:rFonts w:ascii="Tinos" w:eastAsia="Times New Roman" w:hAnsi="Tinos" w:cs="Arial"/>
          <w:i/>
          <w:iCs/>
          <w:color w:val="333333"/>
          <w:sz w:val="31"/>
          <w:szCs w:val="31"/>
          <w:lang w:eastAsia="it-IT"/>
        </w:rPr>
        <w:t>la progressione tra le aree ha luogo con procedure valutative cui sono ammessi i dipendenti in servizio in possesso dei requisiti indicati nella allegata tabella 3 di corrispondenza</w:t>
      </w:r>
      <w:r w:rsidRPr="00B5488D">
        <w:rPr>
          <w:rFonts w:ascii="Tinos" w:eastAsia="Times New Roman" w:hAnsi="Tinos" w:cs="Arial"/>
          <w:color w:val="333333"/>
          <w:sz w:val="31"/>
          <w:szCs w:val="31"/>
          <w:lang w:eastAsia="it-IT"/>
        </w:rPr>
        <w:t>”.</w:t>
      </w:r>
    </w:p>
    <w:p w:rsidR="00B5488D" w:rsidRPr="00B5488D" w:rsidRDefault="00B5488D" w:rsidP="00B5488D">
      <w:pPr>
        <w:spacing w:before="100" w:beforeAutospacing="1" w:after="100" w:afterAutospacing="1"/>
        <w:rPr>
          <w:rFonts w:ascii="Tinos" w:eastAsia="Times New Roman" w:hAnsi="Tinos" w:cs="Arial"/>
          <w:color w:val="333333"/>
          <w:sz w:val="31"/>
          <w:szCs w:val="31"/>
          <w:lang w:eastAsia="it-IT"/>
        </w:rPr>
      </w:pPr>
      <w:r w:rsidRPr="00B5488D">
        <w:rPr>
          <w:rFonts w:ascii="Tinos" w:eastAsia="Times New Roman" w:hAnsi="Tinos" w:cs="Arial"/>
          <w:color w:val="333333"/>
          <w:sz w:val="31"/>
          <w:szCs w:val="31"/>
          <w:lang w:eastAsia="it-IT"/>
        </w:rPr>
        <w:t xml:space="preserve">Come si nota, la norma contrattuale invece di interessarsi delle conseguenze del </w:t>
      </w:r>
      <w:proofErr w:type="spellStart"/>
      <w:r w:rsidRPr="00B5488D">
        <w:rPr>
          <w:rFonts w:ascii="Tinos" w:eastAsia="Times New Roman" w:hAnsi="Tinos" w:cs="Arial"/>
          <w:color w:val="333333"/>
          <w:sz w:val="31"/>
          <w:szCs w:val="31"/>
          <w:lang w:eastAsia="it-IT"/>
        </w:rPr>
        <w:t>reinquadramento</w:t>
      </w:r>
      <w:proofErr w:type="spellEnd"/>
      <w:r w:rsidRPr="00B5488D">
        <w:rPr>
          <w:rFonts w:ascii="Tinos" w:eastAsia="Times New Roman" w:hAnsi="Tinos" w:cs="Arial"/>
          <w:color w:val="333333"/>
          <w:sz w:val="31"/>
          <w:szCs w:val="31"/>
          <w:lang w:eastAsia="it-IT"/>
        </w:rPr>
        <w:t>, si occupa della disciplina delle procedure di progressione verticale, dettando i requisiti di ammissione. Leggendo la tabella 3 allegata al contratto si nota che i requisiti di ammissione sono il necessario titolo di studio per accedere alle aree, più 5 anni di esperienza maturati nell’area di provenienza. Tuttavia, la medesima tabella offre una possibilità anche a chi non dispone del titolo di studio: almeno 8 anni di esperienza nell’area degli operatori per ascendere all’area degli assistenti; almeno 10 anni di esperienza per passare dall’area degli assistenti a quella dei funzionari.</w:t>
      </w:r>
    </w:p>
    <w:p w:rsidR="00B5488D" w:rsidRPr="00B5488D" w:rsidRDefault="00B5488D" w:rsidP="00B5488D">
      <w:pPr>
        <w:spacing w:before="100" w:beforeAutospacing="1" w:after="100" w:afterAutospacing="1"/>
        <w:rPr>
          <w:rFonts w:ascii="Tinos" w:eastAsia="Times New Roman" w:hAnsi="Tinos" w:cs="Arial"/>
          <w:color w:val="333333"/>
          <w:sz w:val="31"/>
          <w:szCs w:val="31"/>
          <w:lang w:eastAsia="it-IT"/>
        </w:rPr>
      </w:pPr>
      <w:r w:rsidRPr="00B5488D">
        <w:rPr>
          <w:rFonts w:ascii="Tinos" w:eastAsia="Times New Roman" w:hAnsi="Tinos" w:cs="Arial"/>
          <w:color w:val="333333"/>
          <w:sz w:val="31"/>
          <w:szCs w:val="31"/>
          <w:lang w:eastAsia="it-IT"/>
        </w:rPr>
        <w:t xml:space="preserve">La previsione contrattuale non convince. Non solo perché non pare in linea col mandato che la contrattazione collettiva aveva ricevuto dall’articolo 52, comma 1-bis, penultimo comma, del </w:t>
      </w:r>
      <w:proofErr w:type="spellStart"/>
      <w:r w:rsidRPr="00B5488D">
        <w:rPr>
          <w:rFonts w:ascii="Tinos" w:eastAsia="Times New Roman" w:hAnsi="Tinos" w:cs="Arial"/>
          <w:color w:val="333333"/>
          <w:sz w:val="31"/>
          <w:szCs w:val="31"/>
          <w:lang w:eastAsia="it-IT"/>
        </w:rPr>
        <w:t>d.lgs</w:t>
      </w:r>
      <w:proofErr w:type="spellEnd"/>
      <w:r w:rsidRPr="00B5488D">
        <w:rPr>
          <w:rFonts w:ascii="Tinos" w:eastAsia="Times New Roman" w:hAnsi="Tinos" w:cs="Arial"/>
          <w:color w:val="333333"/>
          <w:sz w:val="31"/>
          <w:szCs w:val="31"/>
          <w:lang w:eastAsia="it-IT"/>
        </w:rPr>
        <w:t xml:space="preserve"> 165/2001 ma per almeno altre due ragioni.</w:t>
      </w:r>
    </w:p>
    <w:p w:rsidR="00B5488D" w:rsidRPr="00B5488D" w:rsidRDefault="00B5488D" w:rsidP="00B5488D">
      <w:pPr>
        <w:spacing w:before="100" w:beforeAutospacing="1" w:after="100" w:afterAutospacing="1"/>
        <w:rPr>
          <w:rFonts w:ascii="Tinos" w:eastAsia="Times New Roman" w:hAnsi="Tinos" w:cs="Arial"/>
          <w:color w:val="333333"/>
          <w:sz w:val="31"/>
          <w:szCs w:val="31"/>
          <w:lang w:eastAsia="it-IT"/>
        </w:rPr>
      </w:pPr>
      <w:r w:rsidRPr="00B5488D">
        <w:rPr>
          <w:rFonts w:ascii="Tinos" w:eastAsia="Times New Roman" w:hAnsi="Tinos" w:cs="Arial"/>
          <w:color w:val="333333"/>
          <w:sz w:val="31"/>
          <w:szCs w:val="31"/>
          <w:lang w:eastAsia="it-IT"/>
        </w:rPr>
        <w:t xml:space="preserve">La prima, concerne la legittimazione della contrattazione collettiva a disciplinare procedure di accesso al lavoro. La progressione verticale, per quanto sia tornata ad essere un sistema di reclutamento interamente riservato ai dipendenti, resta comunque un metodo per accedere ad un lavoro diverso e più qualificato, alternativo al concorso pubblico, ma comunque è un metodo di reclutamento. Non va dimenticato che la contrattazione nazionale collettiva deve svolgersi entro i tassativi limiti di materia ad essa attribuiti dall’articolo 40, comma 1, del </w:t>
      </w:r>
      <w:proofErr w:type="spellStart"/>
      <w:r w:rsidRPr="00B5488D">
        <w:rPr>
          <w:rFonts w:ascii="Tinos" w:eastAsia="Times New Roman" w:hAnsi="Tinos" w:cs="Arial"/>
          <w:color w:val="333333"/>
          <w:sz w:val="31"/>
          <w:szCs w:val="31"/>
          <w:lang w:eastAsia="it-IT"/>
        </w:rPr>
        <w:t>d.lgs</w:t>
      </w:r>
      <w:proofErr w:type="spellEnd"/>
      <w:r w:rsidRPr="00B5488D">
        <w:rPr>
          <w:rFonts w:ascii="Tinos" w:eastAsia="Times New Roman" w:hAnsi="Tinos" w:cs="Arial"/>
          <w:color w:val="333333"/>
          <w:sz w:val="31"/>
          <w:szCs w:val="31"/>
          <w:lang w:eastAsia="it-IT"/>
        </w:rPr>
        <w:t xml:space="preserve"> 165/2001, che non prevede in alcun modo la possibilità per la contrattazione di stabilire i requisiti di accesso ad una procedura di reclutamento. Anzi, il richiamo delle previsioni contenute nell’articolo 2, comma 1, lettera c), della legge 421/1992, impedisce del tutto ai contratti collettivi di interessarsi della materia dei procedimenti di selezione per l'accesso al lavoro.</w:t>
      </w:r>
    </w:p>
    <w:p w:rsidR="00B5488D" w:rsidRPr="00B5488D" w:rsidRDefault="00B5488D" w:rsidP="00B5488D">
      <w:pPr>
        <w:spacing w:before="100" w:beforeAutospacing="1" w:after="100" w:afterAutospacing="1"/>
        <w:rPr>
          <w:rFonts w:ascii="Tinos" w:eastAsia="Times New Roman" w:hAnsi="Tinos" w:cs="Arial"/>
          <w:color w:val="333333"/>
          <w:sz w:val="31"/>
          <w:szCs w:val="31"/>
          <w:lang w:eastAsia="it-IT"/>
        </w:rPr>
      </w:pPr>
      <w:r w:rsidRPr="00B5488D">
        <w:rPr>
          <w:rFonts w:ascii="Tinos" w:eastAsia="Times New Roman" w:hAnsi="Tinos" w:cs="Arial"/>
          <w:color w:val="333333"/>
          <w:sz w:val="31"/>
          <w:szCs w:val="31"/>
          <w:lang w:eastAsia="it-IT"/>
        </w:rPr>
        <w:t xml:space="preserve">In secondo luogo, la previsione contrattuale di fatto modifica implicitamente il contenuto complessivo dell’articolo52, comma 1-bis, del </w:t>
      </w:r>
      <w:proofErr w:type="spellStart"/>
      <w:r w:rsidRPr="00B5488D">
        <w:rPr>
          <w:rFonts w:ascii="Tinos" w:eastAsia="Times New Roman" w:hAnsi="Tinos" w:cs="Arial"/>
          <w:color w:val="333333"/>
          <w:sz w:val="31"/>
          <w:szCs w:val="31"/>
          <w:lang w:eastAsia="it-IT"/>
        </w:rPr>
        <w:t>d.lgs</w:t>
      </w:r>
      <w:proofErr w:type="spellEnd"/>
      <w:r w:rsidRPr="00B5488D">
        <w:rPr>
          <w:rFonts w:ascii="Tinos" w:eastAsia="Times New Roman" w:hAnsi="Tinos" w:cs="Arial"/>
          <w:color w:val="333333"/>
          <w:sz w:val="31"/>
          <w:szCs w:val="31"/>
          <w:lang w:eastAsia="it-IT"/>
        </w:rPr>
        <w:t xml:space="preserve"> 165/2001, il quale consente le progressioni verticali sulla base di valutazioni comparative, per le quali il possesso di titoli di studio anche ulteriori rispetto a quelli previsti per l'accesso all'area dall'esterno costituisce criterio essenziale. Dovrebbe risultare evidente che se si dà premio a titoli di studio ulteriori, per </w:t>
      </w:r>
      <w:r w:rsidRPr="00B5488D">
        <w:rPr>
          <w:rFonts w:ascii="Tinos" w:eastAsia="Times New Roman" w:hAnsi="Tinos" w:cs="Arial"/>
          <w:color w:val="333333"/>
          <w:sz w:val="31"/>
          <w:szCs w:val="31"/>
          <w:lang w:eastAsia="it-IT"/>
        </w:rPr>
        <w:lastRenderedPageBreak/>
        <w:t>la partecipazione a tali procedure risulti necessario, allora, il titolo di studio previsto se si accedesse dall’esterno con concorso pubblico. </w:t>
      </w:r>
    </w:p>
    <w:p w:rsidR="00B5488D" w:rsidRPr="00B5488D" w:rsidRDefault="00B5488D" w:rsidP="00B5488D">
      <w:pPr>
        <w:spacing w:before="100" w:beforeAutospacing="1" w:after="100" w:afterAutospacing="1"/>
        <w:rPr>
          <w:rFonts w:ascii="Tinos" w:eastAsia="Times New Roman" w:hAnsi="Tinos" w:cs="Arial"/>
          <w:color w:val="333333"/>
          <w:sz w:val="31"/>
          <w:szCs w:val="31"/>
          <w:lang w:eastAsia="it-IT"/>
        </w:rPr>
      </w:pPr>
      <w:r w:rsidRPr="00B5488D">
        <w:rPr>
          <w:rFonts w:ascii="Tinos" w:eastAsia="Times New Roman" w:hAnsi="Tinos" w:cs="Arial"/>
          <w:color w:val="333333"/>
          <w:sz w:val="31"/>
          <w:szCs w:val="31"/>
          <w:lang w:eastAsia="it-IT"/>
        </w:rPr>
        <w:t xml:space="preserve">La deroga al titolo di studio pare possa legittimamente attivarsi solo appunto per procedure automatiche di </w:t>
      </w:r>
      <w:proofErr w:type="spellStart"/>
      <w:r w:rsidRPr="00B5488D">
        <w:rPr>
          <w:rFonts w:ascii="Tinos" w:eastAsia="Times New Roman" w:hAnsi="Tinos" w:cs="Arial"/>
          <w:color w:val="333333"/>
          <w:sz w:val="31"/>
          <w:szCs w:val="31"/>
          <w:lang w:eastAsia="it-IT"/>
        </w:rPr>
        <w:t>reinquadramento</w:t>
      </w:r>
      <w:proofErr w:type="spellEnd"/>
      <w:r w:rsidRPr="00B5488D">
        <w:rPr>
          <w:rFonts w:ascii="Tinos" w:eastAsia="Times New Roman" w:hAnsi="Tinos" w:cs="Arial"/>
          <w:color w:val="333333"/>
          <w:sz w:val="31"/>
          <w:szCs w:val="31"/>
          <w:lang w:eastAsia="it-IT"/>
        </w:rPr>
        <w:t xml:space="preserve"> (e già sembra evidente la forzatura), non per consentire a personale privo del necessario titolo di studio di partecipare alle procedure di progressione verticale. </w:t>
      </w:r>
    </w:p>
    <w:p w:rsidR="008468BC" w:rsidRDefault="008468BC"/>
    <w:sectPr w:rsidR="008468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no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8D"/>
    <w:rsid w:val="008468BC"/>
    <w:rsid w:val="00B548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CE8F8-4EBE-49D3-BEC0-2A9F2746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046064">
      <w:bodyDiv w:val="1"/>
      <w:marLeft w:val="0"/>
      <w:marRight w:val="0"/>
      <w:marTop w:val="0"/>
      <w:marBottom w:val="0"/>
      <w:divBdr>
        <w:top w:val="none" w:sz="0" w:space="0" w:color="auto"/>
        <w:left w:val="none" w:sz="0" w:space="0" w:color="auto"/>
        <w:bottom w:val="none" w:sz="0" w:space="0" w:color="auto"/>
        <w:right w:val="none" w:sz="0" w:space="0" w:color="auto"/>
      </w:divBdr>
      <w:divsChild>
        <w:div w:id="94832744">
          <w:marLeft w:val="0"/>
          <w:marRight w:val="0"/>
          <w:marTop w:val="0"/>
          <w:marBottom w:val="0"/>
          <w:divBdr>
            <w:top w:val="none" w:sz="0" w:space="0" w:color="auto"/>
            <w:left w:val="none" w:sz="0" w:space="0" w:color="auto"/>
            <w:bottom w:val="none" w:sz="0" w:space="0" w:color="auto"/>
            <w:right w:val="none" w:sz="0" w:space="0" w:color="auto"/>
          </w:divBdr>
          <w:divsChild>
            <w:div w:id="1602950622">
              <w:marLeft w:val="0"/>
              <w:marRight w:val="0"/>
              <w:marTop w:val="0"/>
              <w:marBottom w:val="0"/>
              <w:divBdr>
                <w:top w:val="none" w:sz="0" w:space="0" w:color="auto"/>
                <w:left w:val="none" w:sz="0" w:space="0" w:color="auto"/>
                <w:bottom w:val="none" w:sz="0" w:space="0" w:color="auto"/>
                <w:right w:val="none" w:sz="0" w:space="0" w:color="auto"/>
              </w:divBdr>
              <w:divsChild>
                <w:div w:id="64495260">
                  <w:marLeft w:val="0"/>
                  <w:marRight w:val="0"/>
                  <w:marTop w:val="0"/>
                  <w:marBottom w:val="0"/>
                  <w:divBdr>
                    <w:top w:val="none" w:sz="0" w:space="0" w:color="auto"/>
                    <w:left w:val="none" w:sz="0" w:space="0" w:color="auto"/>
                    <w:bottom w:val="none" w:sz="0" w:space="0" w:color="auto"/>
                    <w:right w:val="none" w:sz="0" w:space="0" w:color="auto"/>
                  </w:divBdr>
                  <w:divsChild>
                    <w:div w:id="16818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Tullio</dc:creator>
  <cp:keywords/>
  <dc:description/>
  <cp:lastModifiedBy>Tullio</cp:lastModifiedBy>
  <cp:revision>1</cp:revision>
  <dcterms:created xsi:type="dcterms:W3CDTF">2021-12-28T12:01:00Z</dcterms:created>
  <dcterms:modified xsi:type="dcterms:W3CDTF">2021-12-28T12:01:00Z</dcterms:modified>
</cp:coreProperties>
</file>