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23" w:rsidRPr="002E3A23" w:rsidRDefault="002E3A23" w:rsidP="002E3A23">
      <w:pPr>
        <w:shd w:val="clear" w:color="auto" w:fill="FFFFFF"/>
        <w:spacing w:before="100" w:beforeAutospacing="1" w:after="210" w:line="750" w:lineRule="atLeast"/>
        <w:outlineLvl w:val="0"/>
        <w:rPr>
          <w:rFonts w:ascii="inherit" w:eastAsia="Times New Roman" w:hAnsi="inherit" w:cs="Times New Roman"/>
          <w:color w:val="201F1F"/>
          <w:kern w:val="36"/>
          <w:sz w:val="60"/>
          <w:szCs w:val="60"/>
          <w:lang w:eastAsia="it-IT"/>
        </w:rPr>
      </w:pPr>
      <w:r w:rsidRPr="002E3A23">
        <w:rPr>
          <w:rFonts w:ascii="inherit" w:eastAsia="Times New Roman" w:hAnsi="inherit" w:cs="Times New Roman"/>
          <w:color w:val="201F1F"/>
          <w:kern w:val="36"/>
          <w:sz w:val="60"/>
          <w:szCs w:val="60"/>
          <w:lang w:eastAsia="it-IT"/>
        </w:rPr>
        <w:t>Progressioni Verticali negli Enti Locali: alcuni chiarimenti e le ultime novità</w:t>
      </w:r>
    </w:p>
    <w:p w:rsidR="002E3A23" w:rsidRPr="002E3A23" w:rsidRDefault="002E3A23" w:rsidP="002E3A23">
      <w:pPr>
        <w:shd w:val="clear" w:color="auto" w:fill="FFFFFF"/>
        <w:spacing w:line="360" w:lineRule="atLeast"/>
        <w:rPr>
          <w:rFonts w:ascii="Roboto" w:eastAsia="Times New Roman" w:hAnsi="Roboto" w:cs="Times New Roman"/>
          <w:color w:val="8F8F8F"/>
          <w:sz w:val="27"/>
          <w:szCs w:val="27"/>
          <w:lang w:eastAsia="it-IT"/>
        </w:rPr>
      </w:pPr>
      <w:r w:rsidRPr="002E3A23">
        <w:rPr>
          <w:rFonts w:ascii="Roboto" w:eastAsia="Times New Roman" w:hAnsi="Roboto" w:cs="Times New Roman"/>
          <w:color w:val="8F8F8F"/>
          <w:sz w:val="27"/>
          <w:szCs w:val="27"/>
          <w:lang w:eastAsia="it-IT"/>
        </w:rPr>
        <w:t xml:space="preserve">lentepubblica.it • 11 </w:t>
      </w:r>
      <w:proofErr w:type="gramStart"/>
      <w:r w:rsidRPr="002E3A23">
        <w:rPr>
          <w:rFonts w:ascii="Roboto" w:eastAsia="Times New Roman" w:hAnsi="Roboto" w:cs="Times New Roman"/>
          <w:color w:val="8F8F8F"/>
          <w:sz w:val="27"/>
          <w:szCs w:val="27"/>
          <w:lang w:eastAsia="it-IT"/>
        </w:rPr>
        <w:t>Gennaio</w:t>
      </w:r>
      <w:proofErr w:type="gramEnd"/>
      <w:r w:rsidRPr="002E3A23">
        <w:rPr>
          <w:rFonts w:ascii="Roboto" w:eastAsia="Times New Roman" w:hAnsi="Roboto" w:cs="Times New Roman"/>
          <w:color w:val="8F8F8F"/>
          <w:sz w:val="27"/>
          <w:szCs w:val="27"/>
          <w:lang w:eastAsia="it-IT"/>
        </w:rPr>
        <w:t xml:space="preserve"> 2022</w:t>
      </w:r>
    </w:p>
    <w:p w:rsidR="002E3A23" w:rsidRDefault="002E3A23" w:rsidP="002E3A23">
      <w:pPr>
        <w:shd w:val="clear" w:color="auto" w:fill="FFFFFF"/>
        <w:spacing w:after="210" w:line="360" w:lineRule="atLeast"/>
        <w:rPr>
          <w:rFonts w:ascii="Roboto" w:eastAsia="Times New Roman" w:hAnsi="Roboto" w:cs="Times New Roman"/>
          <w:b/>
          <w:bCs/>
          <w:color w:val="1C2024"/>
          <w:sz w:val="22"/>
          <w:lang w:eastAsia="it-IT"/>
        </w:rPr>
      </w:pP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b/>
          <w:bCs/>
          <w:color w:val="1C2024"/>
          <w:sz w:val="22"/>
          <w:lang w:eastAsia="it-IT"/>
        </w:rPr>
        <w:t>Progressioni Verticali negli Enti Locali: alcuni chiarimenti e le ultime novità alla luce della recente normativa introdotta in materia.</w:t>
      </w:r>
    </w:p>
    <w:p w:rsidR="002E3A23" w:rsidRPr="002E3A23" w:rsidRDefault="002E3A23" w:rsidP="002E3A23">
      <w:pPr>
        <w:shd w:val="clear" w:color="auto" w:fill="FFFFFF"/>
        <w:spacing w:before="420" w:after="42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pict>
          <v:rect id="_x0000_i1025" style="width:0;height:0" o:hralign="center" o:hrstd="t" o:hr="t" fillcolor="#a0a0a0" stroked="f"/>
        </w:pic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 xml:space="preserve">Ricordiamo </w:t>
      </w:r>
      <w:proofErr w:type="gramStart"/>
      <w:r w:rsidRPr="002E3A23">
        <w:rPr>
          <w:rFonts w:ascii="Roboto" w:eastAsia="Times New Roman" w:hAnsi="Roboto" w:cs="Times New Roman"/>
          <w:color w:val="1C2024"/>
          <w:sz w:val="22"/>
          <w:lang w:eastAsia="it-IT"/>
        </w:rPr>
        <w:t>che  le</w:t>
      </w:r>
      <w:proofErr w:type="gramEnd"/>
      <w:r w:rsidRPr="002E3A23">
        <w:rPr>
          <w:rFonts w:ascii="Roboto" w:eastAsia="Times New Roman" w:hAnsi="Roboto" w:cs="Times New Roman"/>
          <w:color w:val="1C2024"/>
          <w:sz w:val="22"/>
          <w:lang w:eastAsia="it-IT"/>
        </w:rPr>
        <w:t> </w:t>
      </w:r>
      <w:r w:rsidRPr="002E3A23">
        <w:rPr>
          <w:rFonts w:ascii="Roboto" w:eastAsia="Times New Roman" w:hAnsi="Roboto" w:cs="Times New Roman"/>
          <w:b/>
          <w:bCs/>
          <w:color w:val="1C2024"/>
          <w:sz w:val="22"/>
          <w:lang w:eastAsia="it-IT"/>
        </w:rPr>
        <w:t>Progressioni Verticali</w:t>
      </w:r>
      <w:r w:rsidRPr="002E3A23">
        <w:rPr>
          <w:rFonts w:ascii="Roboto" w:eastAsia="Times New Roman" w:hAnsi="Roboto" w:cs="Times New Roman"/>
          <w:color w:val="1C2024"/>
          <w:sz w:val="22"/>
          <w:lang w:eastAsia="it-IT"/>
        </w:rPr>
        <w:t> consistono in un percorso di sviluppo professionale, riservato ai dipendenti dell’amministrazione, che prevede </w:t>
      </w:r>
      <w:r w:rsidRPr="002E3A23">
        <w:rPr>
          <w:rFonts w:ascii="Roboto" w:eastAsia="Times New Roman" w:hAnsi="Roboto" w:cs="Times New Roman"/>
          <w:b/>
          <w:bCs/>
          <w:color w:val="1C2024"/>
          <w:sz w:val="22"/>
          <w:u w:val="single"/>
          <w:lang w:eastAsia="it-IT"/>
        </w:rPr>
        <w:t>il passaggio da una categoria alla categoria superiore e si attua attraverso procedure di selezione interna.</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Si differenziano dalle</w:t>
      </w:r>
      <w:hyperlink r:id="rId5" w:tgtFrame="_blank" w:history="1">
        <w:r w:rsidRPr="002E3A23">
          <w:rPr>
            <w:rFonts w:ascii="Roboto" w:eastAsia="Times New Roman" w:hAnsi="Roboto" w:cs="Times New Roman"/>
            <w:color w:val="0000FF"/>
            <w:sz w:val="22"/>
            <w:u w:val="single"/>
            <w:lang w:eastAsia="it-IT"/>
          </w:rPr>
          <w:t> </w:t>
        </w:r>
        <w:r w:rsidRPr="002E3A23">
          <w:rPr>
            <w:rFonts w:ascii="Roboto" w:eastAsia="Times New Roman" w:hAnsi="Roboto" w:cs="Times New Roman"/>
            <w:b/>
            <w:bCs/>
            <w:color w:val="0000FF"/>
            <w:sz w:val="22"/>
            <w:u w:val="single"/>
            <w:lang w:eastAsia="it-IT"/>
          </w:rPr>
          <w:t>Progressioni Economiche Orizzontali</w:t>
        </w:r>
      </w:hyperlink>
      <w:r w:rsidRPr="002E3A23">
        <w:rPr>
          <w:rFonts w:ascii="Roboto" w:eastAsia="Times New Roman" w:hAnsi="Roboto" w:cs="Times New Roman"/>
          <w:color w:val="1C2024"/>
          <w:sz w:val="22"/>
          <w:lang w:eastAsia="it-IT"/>
        </w:rPr>
        <w:t> poiché queste ultime costituiscono un sistema di avanzamento all’interno della stessa area. Per i dipendenti pubblici infatti sono previste progressioni all’interno dell’area di appartenenza secondo principi di selettività, in funzione delle qualità culturali e professionali, dell’attività svolta e dei risultati conseguiti, attraverso l’attribuzione di fasce di merito. Più di preciso si tratta dell’</w:t>
      </w:r>
      <w:r w:rsidRPr="002E3A23">
        <w:rPr>
          <w:rFonts w:ascii="Roboto" w:eastAsia="Times New Roman" w:hAnsi="Roboto" w:cs="Times New Roman"/>
          <w:b/>
          <w:bCs/>
          <w:color w:val="1C2024"/>
          <w:sz w:val="22"/>
          <w:lang w:eastAsia="it-IT"/>
        </w:rPr>
        <w:t>attribuzione di uno stipendio più alto a parità di prestazioni lavorative.</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Oggi ci occuperemo in particolare delle</w:t>
      </w:r>
      <w:r w:rsidRPr="002E3A23">
        <w:rPr>
          <w:rFonts w:ascii="Roboto" w:eastAsia="Times New Roman" w:hAnsi="Roboto" w:cs="Times New Roman"/>
          <w:b/>
          <w:bCs/>
          <w:color w:val="1C2024"/>
          <w:sz w:val="22"/>
          <w:lang w:eastAsia="it-IT"/>
        </w:rPr>
        <w:t> progressioni verticali legate al comparto delle Funzioni Locali</w:t>
      </w:r>
      <w:r w:rsidRPr="002E3A23">
        <w:rPr>
          <w:rFonts w:ascii="Roboto" w:eastAsia="Times New Roman" w:hAnsi="Roboto" w:cs="Times New Roman"/>
          <w:color w:val="1C2024"/>
          <w:sz w:val="22"/>
          <w:lang w:eastAsia="it-IT"/>
        </w:rPr>
        <w:t>, all’interno delle quali è confluito il vecchio comparto “</w:t>
      </w:r>
      <w:r w:rsidRPr="002E3A23">
        <w:rPr>
          <w:rFonts w:ascii="Roboto" w:eastAsia="Times New Roman" w:hAnsi="Roboto" w:cs="Times New Roman"/>
          <w:i/>
          <w:iCs/>
          <w:color w:val="1C2024"/>
          <w:sz w:val="22"/>
          <w:lang w:eastAsia="it-IT"/>
        </w:rPr>
        <w:t xml:space="preserve">Regioni – autonomie </w:t>
      </w:r>
      <w:proofErr w:type="gramStart"/>
      <w:r w:rsidRPr="002E3A23">
        <w:rPr>
          <w:rFonts w:ascii="Roboto" w:eastAsia="Times New Roman" w:hAnsi="Roboto" w:cs="Times New Roman"/>
          <w:i/>
          <w:iCs/>
          <w:color w:val="1C2024"/>
          <w:sz w:val="22"/>
          <w:lang w:eastAsia="it-IT"/>
        </w:rPr>
        <w:t>locali</w:t>
      </w:r>
      <w:r w:rsidRPr="002E3A23">
        <w:rPr>
          <w:rFonts w:ascii="Roboto" w:eastAsia="Times New Roman" w:hAnsi="Roboto" w:cs="Times New Roman"/>
          <w:color w:val="1C2024"/>
          <w:sz w:val="22"/>
          <w:lang w:eastAsia="it-IT"/>
        </w:rPr>
        <w:t>“</w:t>
      </w:r>
      <w:proofErr w:type="gramEnd"/>
      <w:r w:rsidRPr="002E3A23">
        <w:rPr>
          <w:rFonts w:ascii="Roboto" w:eastAsia="Times New Roman" w:hAnsi="Roboto" w:cs="Times New Roman"/>
          <w:color w:val="1C2024"/>
          <w:sz w:val="22"/>
          <w:lang w:eastAsia="it-IT"/>
        </w:rPr>
        <w:t>.</w:t>
      </w:r>
    </w:p>
    <w:p w:rsidR="002E3A23" w:rsidRPr="002E3A23" w:rsidRDefault="002E3A23" w:rsidP="002E3A23">
      <w:pPr>
        <w:shd w:val="clear" w:color="auto" w:fill="F9F9F9"/>
        <w:textAlignment w:val="center"/>
        <w:rPr>
          <w:rFonts w:ascii="Roboto" w:eastAsia="Times New Roman" w:hAnsi="Roboto" w:cs="Times New Roman"/>
          <w:color w:val="1C2024"/>
          <w:sz w:val="29"/>
          <w:szCs w:val="29"/>
          <w:lang w:eastAsia="it-IT"/>
        </w:rPr>
      </w:pPr>
      <w:r w:rsidRPr="002E3A23">
        <w:rPr>
          <w:rFonts w:ascii="Roboto" w:eastAsia="Times New Roman" w:hAnsi="Roboto" w:cs="Times New Roman"/>
          <w:color w:val="1C2024"/>
          <w:sz w:val="29"/>
          <w:szCs w:val="29"/>
          <w:lang w:eastAsia="it-IT"/>
        </w:rPr>
        <w:t>Indice dei contenuti</w:t>
      </w:r>
    </w:p>
    <w:p w:rsidR="002E3A23" w:rsidRPr="002E3A23" w:rsidRDefault="002E3A23" w:rsidP="002E3A23">
      <w:pPr>
        <w:numPr>
          <w:ilvl w:val="0"/>
          <w:numId w:val="1"/>
        </w:numPr>
        <w:shd w:val="clear" w:color="auto" w:fill="F9F9F9"/>
        <w:ind w:left="0"/>
        <w:rPr>
          <w:rFonts w:ascii="Roboto" w:eastAsia="Times New Roman" w:hAnsi="Roboto" w:cs="Times New Roman"/>
          <w:color w:val="1C2024"/>
          <w:sz w:val="23"/>
          <w:szCs w:val="23"/>
          <w:lang w:eastAsia="it-IT"/>
        </w:rPr>
      </w:pPr>
      <w:hyperlink r:id="rId6" w:anchor="Progressioni_Verticali_negli_Enti_Locali_come_funzionano" w:tooltip="Progressioni Verticali negli Enti Locali: come funzionano?" w:history="1">
        <w:r w:rsidRPr="002E3A23">
          <w:rPr>
            <w:rFonts w:ascii="Roboto" w:eastAsia="Times New Roman" w:hAnsi="Roboto" w:cs="Times New Roman"/>
            <w:color w:val="444444"/>
            <w:sz w:val="23"/>
            <w:szCs w:val="23"/>
            <w:u w:val="single"/>
            <w:lang w:eastAsia="it-IT"/>
          </w:rPr>
          <w:t>Progressioni Verticali negli Enti Locali: come funzionano?</w:t>
        </w:r>
      </w:hyperlink>
    </w:p>
    <w:p w:rsidR="002E3A23" w:rsidRPr="002E3A23" w:rsidRDefault="002E3A23" w:rsidP="002E3A23">
      <w:pPr>
        <w:numPr>
          <w:ilvl w:val="1"/>
          <w:numId w:val="1"/>
        </w:numPr>
        <w:shd w:val="clear" w:color="auto" w:fill="F9F9F9"/>
        <w:ind w:left="360"/>
        <w:rPr>
          <w:rFonts w:ascii="Roboto" w:eastAsia="Times New Roman" w:hAnsi="Roboto" w:cs="Times New Roman"/>
          <w:color w:val="1C2024"/>
          <w:sz w:val="22"/>
          <w:lang w:eastAsia="it-IT"/>
        </w:rPr>
      </w:pPr>
      <w:hyperlink r:id="rId7" w:anchor="Il_sistema_di_classificazione_personale_del_CCNL_Funzioni_Locali" w:tooltip="Il sistema di classificazione personale del CCNL Funzioni Locali" w:history="1">
        <w:r w:rsidRPr="002E3A23">
          <w:rPr>
            <w:rFonts w:ascii="Roboto" w:eastAsia="Times New Roman" w:hAnsi="Roboto" w:cs="Times New Roman"/>
            <w:color w:val="444444"/>
            <w:sz w:val="22"/>
            <w:u w:val="single"/>
            <w:lang w:eastAsia="it-IT"/>
          </w:rPr>
          <w:t>Il sistema di classificazione personale del CCNL Funzioni Locali</w:t>
        </w:r>
      </w:hyperlink>
    </w:p>
    <w:p w:rsidR="002E3A23" w:rsidRPr="002E3A23" w:rsidRDefault="002E3A23" w:rsidP="002E3A23">
      <w:pPr>
        <w:numPr>
          <w:ilvl w:val="0"/>
          <w:numId w:val="1"/>
        </w:numPr>
        <w:shd w:val="clear" w:color="auto" w:fill="F9F9F9"/>
        <w:ind w:left="0"/>
        <w:rPr>
          <w:rFonts w:ascii="Roboto" w:eastAsia="Times New Roman" w:hAnsi="Roboto" w:cs="Times New Roman"/>
          <w:color w:val="1C2024"/>
          <w:sz w:val="23"/>
          <w:szCs w:val="23"/>
          <w:lang w:eastAsia="it-IT"/>
        </w:rPr>
      </w:pPr>
      <w:hyperlink r:id="rId8" w:anchor="Progressioni_Verticali_Enti_Locali_le_ultime_novita" w:tooltip="Progressioni Verticali Enti Locali: le ultime novità" w:history="1">
        <w:r w:rsidRPr="002E3A23">
          <w:rPr>
            <w:rFonts w:ascii="Roboto" w:eastAsia="Times New Roman" w:hAnsi="Roboto" w:cs="Times New Roman"/>
            <w:color w:val="444444"/>
            <w:sz w:val="23"/>
            <w:szCs w:val="23"/>
            <w:u w:val="single"/>
            <w:lang w:eastAsia="it-IT"/>
          </w:rPr>
          <w:t>Progressioni Verticali Enti Locali: le ultime novità</w:t>
        </w:r>
      </w:hyperlink>
    </w:p>
    <w:p w:rsidR="002E3A23" w:rsidRPr="002E3A23" w:rsidRDefault="002E3A23" w:rsidP="002E3A23">
      <w:pPr>
        <w:numPr>
          <w:ilvl w:val="1"/>
          <w:numId w:val="1"/>
        </w:numPr>
        <w:shd w:val="clear" w:color="auto" w:fill="F9F9F9"/>
        <w:ind w:left="360"/>
        <w:rPr>
          <w:rFonts w:ascii="Roboto" w:eastAsia="Times New Roman" w:hAnsi="Roboto" w:cs="Times New Roman"/>
          <w:color w:val="1C2024"/>
          <w:sz w:val="22"/>
          <w:lang w:eastAsia="it-IT"/>
        </w:rPr>
      </w:pPr>
      <w:hyperlink r:id="rId9" w:anchor="Tetto_alle_progressioni" w:tooltip="Tetto alle progressioni" w:history="1">
        <w:r w:rsidRPr="002E3A23">
          <w:rPr>
            <w:rFonts w:ascii="Roboto" w:eastAsia="Times New Roman" w:hAnsi="Roboto" w:cs="Times New Roman"/>
            <w:color w:val="444444"/>
            <w:sz w:val="22"/>
            <w:u w:val="single"/>
            <w:lang w:eastAsia="it-IT"/>
          </w:rPr>
          <w:t>Tetto alle progressioni</w:t>
        </w:r>
      </w:hyperlink>
    </w:p>
    <w:p w:rsidR="002E3A23" w:rsidRPr="002E3A23" w:rsidRDefault="002E3A23" w:rsidP="002E3A23">
      <w:pPr>
        <w:numPr>
          <w:ilvl w:val="1"/>
          <w:numId w:val="1"/>
        </w:numPr>
        <w:shd w:val="clear" w:color="auto" w:fill="F9F9F9"/>
        <w:ind w:left="360"/>
        <w:rPr>
          <w:rFonts w:ascii="Roboto" w:eastAsia="Times New Roman" w:hAnsi="Roboto" w:cs="Times New Roman"/>
          <w:color w:val="1C2024"/>
          <w:sz w:val="22"/>
          <w:lang w:eastAsia="it-IT"/>
        </w:rPr>
      </w:pPr>
      <w:hyperlink r:id="rId10" w:anchor="Addio_vincolo_concorsuale_si_passa_alla_procedura_comparativa" w:tooltip="Addio vincolo concorsuale: si passa alla procedura comparativa" w:history="1">
        <w:r w:rsidRPr="002E3A23">
          <w:rPr>
            <w:rFonts w:ascii="Roboto" w:eastAsia="Times New Roman" w:hAnsi="Roboto" w:cs="Times New Roman"/>
            <w:color w:val="444444"/>
            <w:sz w:val="22"/>
            <w:u w:val="single"/>
            <w:lang w:eastAsia="it-IT"/>
          </w:rPr>
          <w:t>Addio vincolo concorsuale: si passa alla procedura comparativa</w:t>
        </w:r>
      </w:hyperlink>
    </w:p>
    <w:p w:rsidR="002E3A23" w:rsidRPr="002E3A23" w:rsidRDefault="002E3A23" w:rsidP="002E3A23">
      <w:pPr>
        <w:shd w:val="clear" w:color="auto" w:fill="FFFFFF"/>
        <w:spacing w:before="420" w:after="210" w:line="348" w:lineRule="atLeast"/>
        <w:outlineLvl w:val="1"/>
        <w:rPr>
          <w:rFonts w:ascii="inherit" w:eastAsia="Times New Roman" w:hAnsi="inherit" w:cs="Times New Roman"/>
          <w:color w:val="808080"/>
          <w:sz w:val="35"/>
          <w:szCs w:val="35"/>
          <w:lang w:eastAsia="it-IT"/>
        </w:rPr>
      </w:pPr>
      <w:r w:rsidRPr="002E3A23">
        <w:rPr>
          <w:rFonts w:ascii="inherit" w:eastAsia="Times New Roman" w:hAnsi="inherit" w:cs="Times New Roman"/>
          <w:color w:val="808080"/>
          <w:sz w:val="35"/>
          <w:szCs w:val="35"/>
          <w:lang w:eastAsia="it-IT"/>
        </w:rPr>
        <w:t>Progressioni Verticali negli Enti Locali: come funzionano?</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Per i dipendenti del comparto degli Enti Locali, come negli altri, si prevede la progressione verticale, come da disposizioni contenute nel CCNL sul sistema di classificazione professionale del personale del comparto Funzioni Locali.</w:t>
      </w:r>
    </w:p>
    <w:p w:rsidR="002E3A23" w:rsidRPr="002E3A23" w:rsidRDefault="002E3A23" w:rsidP="002E3A23">
      <w:pPr>
        <w:shd w:val="clear" w:color="auto" w:fill="FFFFFF"/>
        <w:spacing w:before="420" w:after="210" w:line="324" w:lineRule="atLeast"/>
        <w:outlineLvl w:val="2"/>
        <w:rPr>
          <w:rFonts w:ascii="inherit" w:eastAsia="Times New Roman" w:hAnsi="inherit" w:cs="Times New Roman"/>
          <w:color w:val="808080"/>
          <w:sz w:val="33"/>
          <w:szCs w:val="33"/>
          <w:lang w:eastAsia="it-IT"/>
        </w:rPr>
      </w:pPr>
      <w:r w:rsidRPr="002E3A23">
        <w:rPr>
          <w:rFonts w:ascii="inherit" w:eastAsia="Times New Roman" w:hAnsi="inherit" w:cs="Times New Roman"/>
          <w:color w:val="808080"/>
          <w:sz w:val="33"/>
          <w:szCs w:val="33"/>
          <w:lang w:eastAsia="it-IT"/>
        </w:rPr>
        <w:t>Il sistema di classificazione personale del CCNL Funzioni Locali</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Il sistema di classificazione è articolato in </w:t>
      </w:r>
      <w:r w:rsidRPr="002E3A23">
        <w:rPr>
          <w:rFonts w:ascii="Roboto" w:eastAsia="Times New Roman" w:hAnsi="Roboto" w:cs="Times New Roman"/>
          <w:b/>
          <w:bCs/>
          <w:color w:val="1C2024"/>
          <w:sz w:val="22"/>
          <w:lang w:eastAsia="it-IT"/>
        </w:rPr>
        <w:t>quattro categorie denominate, rispettivamente, A, B, C e D.</w:t>
      </w:r>
    </w:p>
    <w:p w:rsidR="002E3A23" w:rsidRPr="002E3A23" w:rsidRDefault="002E3A23" w:rsidP="002E3A23">
      <w:pPr>
        <w:shd w:val="clear" w:color="auto" w:fill="FFFFFF"/>
        <w:spacing w:before="210" w:after="210" w:line="300" w:lineRule="atLeast"/>
        <w:outlineLvl w:val="3"/>
        <w:rPr>
          <w:rFonts w:ascii="inherit" w:eastAsia="Times New Roman" w:hAnsi="inherit" w:cs="Times New Roman"/>
          <w:color w:val="808080"/>
          <w:sz w:val="29"/>
          <w:szCs w:val="29"/>
          <w:lang w:eastAsia="it-IT"/>
        </w:rPr>
      </w:pPr>
      <w:r w:rsidRPr="002E3A23">
        <w:rPr>
          <w:rFonts w:ascii="inherit" w:eastAsia="Times New Roman" w:hAnsi="inherit" w:cs="Times New Roman"/>
          <w:b/>
          <w:bCs/>
          <w:color w:val="808080"/>
          <w:sz w:val="29"/>
          <w:szCs w:val="29"/>
          <w:lang w:eastAsia="it-IT"/>
        </w:rPr>
        <w:lastRenderedPageBreak/>
        <w:t>CATEGORIA A</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Appartengono a questa categoria i lavoratori che svolgono attività caratterizzate da:</w:t>
      </w:r>
    </w:p>
    <w:p w:rsidR="002E3A23" w:rsidRPr="002E3A23" w:rsidRDefault="002E3A23" w:rsidP="002E3A23">
      <w:pPr>
        <w:numPr>
          <w:ilvl w:val="0"/>
          <w:numId w:val="2"/>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Conoscenze di tipo operativo generale acquisibile attraverso esperienza diretta sulla mansione;</w:t>
      </w:r>
    </w:p>
    <w:p w:rsidR="002E3A23" w:rsidRPr="002E3A23" w:rsidRDefault="002E3A23" w:rsidP="002E3A23">
      <w:pPr>
        <w:numPr>
          <w:ilvl w:val="0"/>
          <w:numId w:val="2"/>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Contenuti di tipo ausiliario rispetto a più ampi processi produttivi/amministrativi;</w:t>
      </w:r>
    </w:p>
    <w:p w:rsidR="002E3A23" w:rsidRPr="002E3A23" w:rsidRDefault="002E3A23" w:rsidP="002E3A23">
      <w:pPr>
        <w:numPr>
          <w:ilvl w:val="0"/>
          <w:numId w:val="2"/>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Problematiche lavorative di tipo semplice;</w:t>
      </w:r>
    </w:p>
    <w:p w:rsidR="002E3A23" w:rsidRPr="002E3A23" w:rsidRDefault="002E3A23" w:rsidP="002E3A23">
      <w:pPr>
        <w:numPr>
          <w:ilvl w:val="0"/>
          <w:numId w:val="2"/>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Relazioni organizzative di tipo prevalentemente interno basate su interazione tra pochi soggetti.</w:t>
      </w:r>
    </w:p>
    <w:p w:rsidR="002E3A23" w:rsidRPr="002E3A23" w:rsidRDefault="002E3A23" w:rsidP="002E3A23">
      <w:pPr>
        <w:shd w:val="clear" w:color="auto" w:fill="FFFFFF"/>
        <w:spacing w:before="210" w:after="210" w:line="300" w:lineRule="atLeast"/>
        <w:outlineLvl w:val="3"/>
        <w:rPr>
          <w:rFonts w:ascii="inherit" w:eastAsia="Times New Roman" w:hAnsi="inherit" w:cs="Times New Roman"/>
          <w:color w:val="808080"/>
          <w:sz w:val="29"/>
          <w:szCs w:val="29"/>
          <w:lang w:eastAsia="it-IT"/>
        </w:rPr>
      </w:pPr>
      <w:r w:rsidRPr="002E3A23">
        <w:rPr>
          <w:rFonts w:ascii="inherit" w:eastAsia="Times New Roman" w:hAnsi="inherit" w:cs="Times New Roman"/>
          <w:color w:val="808080"/>
          <w:sz w:val="29"/>
          <w:szCs w:val="29"/>
          <w:lang w:eastAsia="it-IT"/>
        </w:rPr>
        <w:t>CATEGORIA B</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 xml:space="preserve">Appartengono a questa categoria i lavoratori che svolgono attività caratterizzate </w:t>
      </w:r>
      <w:proofErr w:type="gramStart"/>
      <w:r w:rsidRPr="002E3A23">
        <w:rPr>
          <w:rFonts w:ascii="Roboto" w:eastAsia="Times New Roman" w:hAnsi="Roboto" w:cs="Times New Roman"/>
          <w:color w:val="1C2024"/>
          <w:sz w:val="22"/>
          <w:lang w:eastAsia="it-IT"/>
        </w:rPr>
        <w:t>da :</w:t>
      </w:r>
      <w:proofErr w:type="gramEnd"/>
    </w:p>
    <w:p w:rsidR="002E3A23" w:rsidRPr="002E3A23" w:rsidRDefault="002E3A23" w:rsidP="002E3A23">
      <w:pPr>
        <w:numPr>
          <w:ilvl w:val="0"/>
          <w:numId w:val="3"/>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Buone conoscenze specialistiche ed un grado di esperienza discreto;</w:t>
      </w:r>
    </w:p>
    <w:p w:rsidR="002E3A23" w:rsidRPr="002E3A23" w:rsidRDefault="002E3A23" w:rsidP="002E3A23">
      <w:pPr>
        <w:numPr>
          <w:ilvl w:val="0"/>
          <w:numId w:val="3"/>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Contenuto di tipo operativo con responsabilità di risultati parziali rispetto a più ampi processi produttivi/amministrativi;</w:t>
      </w:r>
    </w:p>
    <w:p w:rsidR="002E3A23" w:rsidRPr="002E3A23" w:rsidRDefault="002E3A23" w:rsidP="002E3A23">
      <w:pPr>
        <w:numPr>
          <w:ilvl w:val="0"/>
          <w:numId w:val="3"/>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Discreta complessità dei problemi da affrontare e discreta ampiezza delle soluzioni possibili;</w:t>
      </w:r>
    </w:p>
    <w:p w:rsidR="002E3A23" w:rsidRPr="002E3A23" w:rsidRDefault="002E3A23" w:rsidP="002E3A23">
      <w:pPr>
        <w:numPr>
          <w:ilvl w:val="0"/>
          <w:numId w:val="3"/>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Relazioni organizzative interne di tipo semplice anche tra più soggetti interagenti, relazioni esterne (con altre istituzioni) di tipo indiretto e formale.</w:t>
      </w:r>
    </w:p>
    <w:p w:rsidR="002E3A23" w:rsidRPr="002E3A23" w:rsidRDefault="002E3A23" w:rsidP="002E3A23">
      <w:pPr>
        <w:numPr>
          <w:ilvl w:val="0"/>
          <w:numId w:val="3"/>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Relazioni con gli utenti di natura diretta.</w:t>
      </w:r>
    </w:p>
    <w:p w:rsidR="002E3A23" w:rsidRPr="002E3A23" w:rsidRDefault="002E3A23" w:rsidP="002E3A23">
      <w:pPr>
        <w:shd w:val="clear" w:color="auto" w:fill="FFFFFF"/>
        <w:spacing w:before="210" w:after="210" w:line="300" w:lineRule="atLeast"/>
        <w:outlineLvl w:val="3"/>
        <w:rPr>
          <w:rFonts w:ascii="inherit" w:eastAsia="Times New Roman" w:hAnsi="inherit" w:cs="Times New Roman"/>
          <w:color w:val="808080"/>
          <w:sz w:val="29"/>
          <w:szCs w:val="29"/>
          <w:lang w:eastAsia="it-IT"/>
        </w:rPr>
      </w:pPr>
      <w:r w:rsidRPr="002E3A23">
        <w:rPr>
          <w:rFonts w:ascii="inherit" w:eastAsia="Times New Roman" w:hAnsi="inherit" w:cs="Times New Roman"/>
          <w:color w:val="808080"/>
          <w:sz w:val="29"/>
          <w:szCs w:val="29"/>
          <w:lang w:eastAsia="it-IT"/>
        </w:rPr>
        <w:t>CATEGORIA C</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 xml:space="preserve">Appartengono a questa categoria i lavoratori che svolgono attività caratterizzate </w:t>
      </w:r>
      <w:proofErr w:type="gramStart"/>
      <w:r w:rsidRPr="002E3A23">
        <w:rPr>
          <w:rFonts w:ascii="Roboto" w:eastAsia="Times New Roman" w:hAnsi="Roboto" w:cs="Times New Roman"/>
          <w:color w:val="1C2024"/>
          <w:sz w:val="22"/>
          <w:lang w:eastAsia="it-IT"/>
        </w:rPr>
        <w:t>da :</w:t>
      </w:r>
      <w:proofErr w:type="gramEnd"/>
    </w:p>
    <w:p w:rsidR="002E3A23" w:rsidRPr="002E3A23" w:rsidRDefault="002E3A23" w:rsidP="002E3A23">
      <w:pPr>
        <w:numPr>
          <w:ilvl w:val="0"/>
          <w:numId w:val="4"/>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Approfondite conoscenze mono specialistiche e un grado di esperienza pluriennale, con necessità di aggiornamento;</w:t>
      </w:r>
    </w:p>
    <w:p w:rsidR="002E3A23" w:rsidRPr="002E3A23" w:rsidRDefault="002E3A23" w:rsidP="002E3A23">
      <w:pPr>
        <w:numPr>
          <w:ilvl w:val="0"/>
          <w:numId w:val="4"/>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Contenuto di concetto con responsabilità di risultati relativi a specifici processi produttivi/amministrativi;</w:t>
      </w:r>
    </w:p>
    <w:p w:rsidR="002E3A23" w:rsidRPr="002E3A23" w:rsidRDefault="002E3A23" w:rsidP="002E3A23">
      <w:pPr>
        <w:numPr>
          <w:ilvl w:val="0"/>
          <w:numId w:val="4"/>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Media complessità dei problemi da affrontare basata su modelli esterni predefiniti e significativa ampiezza delle soluzioni possibili;</w:t>
      </w:r>
    </w:p>
    <w:p w:rsidR="002E3A23" w:rsidRPr="002E3A23" w:rsidRDefault="002E3A23" w:rsidP="002E3A23">
      <w:pPr>
        <w:numPr>
          <w:ilvl w:val="0"/>
          <w:numId w:val="4"/>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Relazioni organizzative interne anche di natura negoziale ed anche con posizioni organizzative al di fuori delle unità organizzative di appartenenza, relazioni esterne (con altre istituzioni) anche di tipo diretto. Relazioni con gli utenti di natura diretta, anche complesse, e negoziale.</w:t>
      </w:r>
    </w:p>
    <w:p w:rsidR="002E3A23" w:rsidRPr="002E3A23" w:rsidRDefault="002E3A23" w:rsidP="002E3A23">
      <w:pPr>
        <w:shd w:val="clear" w:color="auto" w:fill="FFFFFF"/>
        <w:spacing w:before="210" w:after="210" w:line="300" w:lineRule="atLeast"/>
        <w:outlineLvl w:val="3"/>
        <w:rPr>
          <w:rFonts w:ascii="inherit" w:eastAsia="Times New Roman" w:hAnsi="inherit" w:cs="Times New Roman"/>
          <w:color w:val="808080"/>
          <w:sz w:val="29"/>
          <w:szCs w:val="29"/>
          <w:lang w:eastAsia="it-IT"/>
        </w:rPr>
      </w:pPr>
      <w:r w:rsidRPr="002E3A23">
        <w:rPr>
          <w:rFonts w:ascii="inherit" w:eastAsia="Times New Roman" w:hAnsi="inherit" w:cs="Times New Roman"/>
          <w:color w:val="808080"/>
          <w:sz w:val="29"/>
          <w:szCs w:val="29"/>
          <w:lang w:eastAsia="it-IT"/>
        </w:rPr>
        <w:t>CATEGORIA D</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 xml:space="preserve">Appartengono a questa categoria i lavoratori che svolgono attività caratterizzate </w:t>
      </w:r>
      <w:proofErr w:type="gramStart"/>
      <w:r w:rsidRPr="002E3A23">
        <w:rPr>
          <w:rFonts w:ascii="Roboto" w:eastAsia="Times New Roman" w:hAnsi="Roboto" w:cs="Times New Roman"/>
          <w:color w:val="1C2024"/>
          <w:sz w:val="22"/>
          <w:lang w:eastAsia="it-IT"/>
        </w:rPr>
        <w:t>da :</w:t>
      </w:r>
      <w:proofErr w:type="gramEnd"/>
    </w:p>
    <w:p w:rsidR="002E3A23" w:rsidRPr="002E3A23" w:rsidRDefault="002E3A23" w:rsidP="002E3A23">
      <w:pPr>
        <w:numPr>
          <w:ilvl w:val="0"/>
          <w:numId w:val="5"/>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 xml:space="preserve">Elevate conoscenze </w:t>
      </w:r>
      <w:proofErr w:type="spellStart"/>
      <w:r w:rsidRPr="002E3A23">
        <w:rPr>
          <w:rFonts w:ascii="Roboto" w:eastAsia="Times New Roman" w:hAnsi="Roboto" w:cs="Times New Roman"/>
          <w:color w:val="1C2024"/>
          <w:sz w:val="22"/>
          <w:lang w:eastAsia="it-IT"/>
        </w:rPr>
        <w:t>plurispecialistiche</w:t>
      </w:r>
      <w:proofErr w:type="spellEnd"/>
      <w:r w:rsidRPr="002E3A23">
        <w:rPr>
          <w:rFonts w:ascii="Roboto" w:eastAsia="Times New Roman" w:hAnsi="Roboto" w:cs="Times New Roman"/>
          <w:color w:val="1C2024"/>
          <w:sz w:val="22"/>
          <w:lang w:eastAsia="it-IT"/>
        </w:rPr>
        <w:t xml:space="preserve"> ed un grado di esperienza pluriennale, con frequente necessità di aggiornamento;</w:t>
      </w:r>
    </w:p>
    <w:p w:rsidR="002E3A23" w:rsidRPr="002E3A23" w:rsidRDefault="002E3A23" w:rsidP="002E3A23">
      <w:pPr>
        <w:numPr>
          <w:ilvl w:val="0"/>
          <w:numId w:val="5"/>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Contenuto di tipo tecnico, gestionale o direttivo con responsabilità di risultati relativi ad importanti e diversi processi produttivi/amministrativi;</w:t>
      </w:r>
    </w:p>
    <w:p w:rsidR="002E3A23" w:rsidRPr="002E3A23" w:rsidRDefault="002E3A23" w:rsidP="00232F64">
      <w:pPr>
        <w:numPr>
          <w:ilvl w:val="0"/>
          <w:numId w:val="5"/>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lastRenderedPageBreak/>
        <w:t>Elevata complessità dei problemi da affrontare basata su modelli teorici non immediatamente utilizzabili ed elevata ampiezza delle soluzioni possibili;</w:t>
      </w:r>
    </w:p>
    <w:p w:rsidR="002E3A23" w:rsidRPr="002E3A23" w:rsidRDefault="002E3A23" w:rsidP="00232F64">
      <w:pPr>
        <w:numPr>
          <w:ilvl w:val="0"/>
          <w:numId w:val="5"/>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Relazioni organizzative interne di natura negoziale e complessa, gestite anche tra unità organizzative diverse da quella di appartenenza, relazioni esterne (con altre istituzioni) di tipo diretto anche con rappresentanza istituzionale. Relazioni con gli utenti di natura diretta, anche complesse, e negoziale.</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Fino a quanto stabilito dal </w:t>
      </w:r>
      <w:hyperlink r:id="rId11" w:tgtFrame="_blank" w:history="1">
        <w:r w:rsidRPr="002E3A23">
          <w:rPr>
            <w:rFonts w:ascii="Roboto" w:eastAsia="Times New Roman" w:hAnsi="Roboto" w:cs="Times New Roman"/>
            <w:b/>
            <w:bCs/>
            <w:color w:val="0000FF"/>
            <w:sz w:val="22"/>
            <w:u w:val="single"/>
            <w:lang w:eastAsia="it-IT"/>
          </w:rPr>
          <w:t>d.lgs. 75/2017</w:t>
        </w:r>
      </w:hyperlink>
      <w:r w:rsidRPr="002E3A23">
        <w:rPr>
          <w:rFonts w:ascii="Roboto" w:eastAsia="Times New Roman" w:hAnsi="Roboto" w:cs="Times New Roman"/>
          <w:b/>
          <w:bCs/>
          <w:color w:val="1C2024"/>
          <w:sz w:val="22"/>
          <w:lang w:eastAsia="it-IT"/>
        </w:rPr>
        <w:t> all’art. 22 comma 15 si prevedevano dei percorsi di progressioni verticali da realizzare con concorsi interamente riservati agli interni</w:t>
      </w:r>
      <w:r w:rsidRPr="002E3A23">
        <w:rPr>
          <w:rFonts w:ascii="Roboto" w:eastAsia="Times New Roman" w:hAnsi="Roboto" w:cs="Times New Roman"/>
          <w:color w:val="1C2024"/>
          <w:sz w:val="22"/>
          <w:lang w:eastAsia="it-IT"/>
        </w:rPr>
        <w:t>.</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Ma cosa è cambiato con il Decreto Reclutamento per le progressioni verticali, anche per il comparto Enti Locali?</w:t>
      </w:r>
    </w:p>
    <w:p w:rsidR="002E3A23" w:rsidRPr="002E3A23" w:rsidRDefault="002E3A23" w:rsidP="002E3A23">
      <w:pPr>
        <w:shd w:val="clear" w:color="auto" w:fill="FFFFFF"/>
        <w:spacing w:before="420" w:after="210" w:line="348" w:lineRule="atLeast"/>
        <w:outlineLvl w:val="1"/>
        <w:rPr>
          <w:rFonts w:ascii="inherit" w:eastAsia="Times New Roman" w:hAnsi="inherit" w:cs="Times New Roman"/>
          <w:color w:val="808080"/>
          <w:sz w:val="35"/>
          <w:szCs w:val="35"/>
          <w:lang w:eastAsia="it-IT"/>
        </w:rPr>
      </w:pPr>
      <w:r w:rsidRPr="002E3A23">
        <w:rPr>
          <w:rFonts w:ascii="inherit" w:eastAsia="Times New Roman" w:hAnsi="inherit" w:cs="Times New Roman"/>
          <w:color w:val="808080"/>
          <w:sz w:val="35"/>
          <w:szCs w:val="35"/>
          <w:lang w:eastAsia="it-IT"/>
        </w:rPr>
        <w:t>Progressioni Verticali Enti Locali: le ultime novità</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Come previsto dal </w:t>
      </w:r>
      <w:proofErr w:type="spellStart"/>
      <w:r w:rsidRPr="002E3A23">
        <w:rPr>
          <w:rFonts w:ascii="Roboto" w:eastAsia="Times New Roman" w:hAnsi="Roboto" w:cs="Times New Roman"/>
          <w:b/>
          <w:bCs/>
          <w:color w:val="1C2024"/>
          <w:sz w:val="22"/>
          <w:lang w:eastAsia="it-IT"/>
        </w:rPr>
        <w:t>d.l.</w:t>
      </w:r>
      <w:proofErr w:type="spellEnd"/>
      <w:r w:rsidRPr="002E3A23">
        <w:rPr>
          <w:rFonts w:ascii="Roboto" w:eastAsia="Times New Roman" w:hAnsi="Roboto" w:cs="Times New Roman"/>
          <w:b/>
          <w:bCs/>
          <w:color w:val="1C2024"/>
          <w:sz w:val="22"/>
          <w:lang w:eastAsia="it-IT"/>
        </w:rPr>
        <w:t xml:space="preserve"> 80/2021</w:t>
      </w:r>
      <w:r w:rsidRPr="002E3A23">
        <w:rPr>
          <w:rFonts w:ascii="Roboto" w:eastAsia="Times New Roman" w:hAnsi="Roboto" w:cs="Times New Roman"/>
          <w:color w:val="1C2024"/>
          <w:sz w:val="22"/>
          <w:lang w:eastAsia="it-IT"/>
        </w:rPr>
        <w:t> (cosiddetto </w:t>
      </w:r>
      <w:hyperlink r:id="rId12" w:tgtFrame="_blank" w:history="1">
        <w:r w:rsidRPr="002E3A23">
          <w:rPr>
            <w:rFonts w:ascii="Roboto" w:eastAsia="Times New Roman" w:hAnsi="Roboto" w:cs="Times New Roman"/>
            <w:b/>
            <w:bCs/>
            <w:color w:val="0000FF"/>
            <w:sz w:val="22"/>
            <w:u w:val="single"/>
            <w:lang w:eastAsia="it-IT"/>
          </w:rPr>
          <w:t>Decreto Reclutamento</w:t>
        </w:r>
      </w:hyperlink>
      <w:r w:rsidRPr="002E3A23">
        <w:rPr>
          <w:rFonts w:ascii="Roboto" w:eastAsia="Times New Roman" w:hAnsi="Roboto" w:cs="Times New Roman"/>
          <w:color w:val="1C2024"/>
          <w:sz w:val="22"/>
          <w:lang w:eastAsia="it-IT"/>
        </w:rPr>
        <w:t>) viene prefigurata una procedura comparativa basata sui parametri di seguito riportati:</w:t>
      </w:r>
    </w:p>
    <w:p w:rsidR="002E3A23" w:rsidRPr="002E3A23" w:rsidRDefault="002E3A23" w:rsidP="002E3A23">
      <w:pPr>
        <w:numPr>
          <w:ilvl w:val="0"/>
          <w:numId w:val="6"/>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valutazione positiva conseguita dal dipendente negli ultimi tre anni in servizio;</w:t>
      </w:r>
    </w:p>
    <w:p w:rsidR="002E3A23" w:rsidRPr="002E3A23" w:rsidRDefault="002E3A23" w:rsidP="002E3A23">
      <w:pPr>
        <w:numPr>
          <w:ilvl w:val="0"/>
          <w:numId w:val="6"/>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assenza di provvedimenti disciplinari;</w:t>
      </w:r>
    </w:p>
    <w:p w:rsidR="002E3A23" w:rsidRPr="002E3A23" w:rsidRDefault="002E3A23" w:rsidP="00232F64">
      <w:pPr>
        <w:numPr>
          <w:ilvl w:val="0"/>
          <w:numId w:val="6"/>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possesso di titoli o competenze professionali ovvero di studio ulteriori rispetto a quelli previsti per l’accesso all’area dall’esterno;</w:t>
      </w:r>
    </w:p>
    <w:p w:rsidR="002E3A23" w:rsidRPr="002E3A23" w:rsidRDefault="002E3A23" w:rsidP="002E3A23">
      <w:pPr>
        <w:numPr>
          <w:ilvl w:val="0"/>
          <w:numId w:val="6"/>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numero e tipologia degli incarichi rivestiti.</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Inoltre sono previsti percorsi di crescita per il personale della Pubblica amministrazione (quindi valido anche per il comparto Funzioni Locali) nell’ambito dei quali sono valorizzate:</w:t>
      </w:r>
    </w:p>
    <w:p w:rsidR="002E3A23" w:rsidRPr="002E3A23" w:rsidRDefault="002E3A23" w:rsidP="002E3A23">
      <w:pPr>
        <w:numPr>
          <w:ilvl w:val="0"/>
          <w:numId w:val="7"/>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non soltanto le conoscenze tecniche</w:t>
      </w:r>
    </w:p>
    <w:p w:rsidR="002E3A23" w:rsidRPr="002E3A23" w:rsidRDefault="002E3A23" w:rsidP="00232F64">
      <w:pPr>
        <w:numPr>
          <w:ilvl w:val="0"/>
          <w:numId w:val="7"/>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ma anche le competenze di carattere trasversale (</w:t>
      </w:r>
      <w:r w:rsidRPr="002E3A23">
        <w:rPr>
          <w:rFonts w:ascii="Roboto" w:eastAsia="Times New Roman" w:hAnsi="Roboto" w:cs="Times New Roman"/>
          <w:color w:val="1C2024"/>
          <w:sz w:val="20"/>
          <w:szCs w:val="20"/>
          <w:lang w:eastAsia="it-IT"/>
        </w:rPr>
        <w:t>manageriale, gestionale, ecc.</w:t>
      </w:r>
      <w:r w:rsidRPr="002E3A23">
        <w:rPr>
          <w:rFonts w:ascii="Roboto" w:eastAsia="Times New Roman" w:hAnsi="Roboto" w:cs="Times New Roman"/>
          <w:color w:val="1C2024"/>
          <w:sz w:val="22"/>
          <w:lang w:eastAsia="it-IT"/>
        </w:rPr>
        <w:t>) che il dipendente abbi</w:t>
      </w:r>
      <w:r w:rsidR="00232F64">
        <w:rPr>
          <w:rFonts w:ascii="Roboto" w:eastAsia="Times New Roman" w:hAnsi="Roboto" w:cs="Times New Roman"/>
          <w:color w:val="1C2024"/>
          <w:sz w:val="22"/>
          <w:lang w:eastAsia="it-IT"/>
        </w:rPr>
        <w:t>a</w:t>
      </w:r>
      <w:r w:rsidRPr="002E3A23">
        <w:rPr>
          <w:rFonts w:ascii="Roboto" w:eastAsia="Times New Roman" w:hAnsi="Roboto" w:cs="Times New Roman"/>
          <w:color w:val="1C2024"/>
          <w:sz w:val="22"/>
          <w:lang w:eastAsia="it-IT"/>
        </w:rPr>
        <w:t> maturato nel corso della propria attività lavorativa.</w:t>
      </w:r>
    </w:p>
    <w:p w:rsidR="002E3A23" w:rsidRPr="002E3A23" w:rsidRDefault="002E3A23" w:rsidP="002E3A23">
      <w:pPr>
        <w:shd w:val="clear" w:color="auto" w:fill="FFFFFF"/>
        <w:spacing w:before="420" w:after="210" w:line="324" w:lineRule="atLeast"/>
        <w:outlineLvl w:val="2"/>
        <w:rPr>
          <w:rFonts w:ascii="inherit" w:eastAsia="Times New Roman" w:hAnsi="inherit" w:cs="Times New Roman"/>
          <w:color w:val="808080"/>
          <w:sz w:val="33"/>
          <w:szCs w:val="33"/>
          <w:lang w:eastAsia="it-IT"/>
        </w:rPr>
      </w:pPr>
      <w:r w:rsidRPr="002E3A23">
        <w:rPr>
          <w:rFonts w:ascii="inherit" w:eastAsia="Times New Roman" w:hAnsi="inherit" w:cs="Times New Roman"/>
          <w:color w:val="808080"/>
          <w:sz w:val="33"/>
          <w:szCs w:val="33"/>
          <w:lang w:eastAsia="it-IT"/>
        </w:rPr>
        <w:t>Tetto alle progressioni</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Inoltre, la riforma prevede l’introduzione di un tetto per le progressioni verticali </w:t>
      </w:r>
      <w:r w:rsidRPr="002E3A23">
        <w:rPr>
          <w:rFonts w:ascii="Roboto" w:eastAsia="Times New Roman" w:hAnsi="Roboto" w:cs="Times New Roman"/>
          <w:b/>
          <w:bCs/>
          <w:color w:val="1C2024"/>
          <w:sz w:val="22"/>
          <w:lang w:eastAsia="it-IT"/>
        </w:rPr>
        <w:t>non rapportato alle assunzioni delle singole categorie, ma al totale di quelle programmate.</w:t>
      </w:r>
      <w:bookmarkStart w:id="0" w:name="_GoBack"/>
      <w:bookmarkEnd w:id="0"/>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Pertanto si adotta il seguente schema:</w:t>
      </w:r>
    </w:p>
    <w:p w:rsidR="002E3A23" w:rsidRPr="002E3A23" w:rsidRDefault="002E3A23" w:rsidP="00232F64">
      <w:pPr>
        <w:numPr>
          <w:ilvl w:val="0"/>
          <w:numId w:val="8"/>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le progressioni tra le aree, cosiddette verticali, possono essere attivate nel tetto massimo del 50% dei posti che l’ente programma di coprire, senza il calcolo di tale tetto all’interno delle singole aree o categorie;</w:t>
      </w:r>
    </w:p>
    <w:p w:rsidR="002E3A23" w:rsidRPr="002E3A23" w:rsidRDefault="002E3A23" w:rsidP="002E3A23">
      <w:pPr>
        <w:numPr>
          <w:ilvl w:val="0"/>
          <w:numId w:val="8"/>
        </w:numPr>
        <w:shd w:val="clear" w:color="auto" w:fill="FFFFFF"/>
        <w:spacing w:before="100" w:beforeAutospacing="1" w:after="100" w:afterAutospacing="1"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per gli </w:t>
      </w:r>
      <w:r w:rsidRPr="002E3A23">
        <w:rPr>
          <w:rFonts w:ascii="Roboto" w:eastAsia="Times New Roman" w:hAnsi="Roboto" w:cs="Times New Roman"/>
          <w:b/>
          <w:bCs/>
          <w:color w:val="1C2024"/>
          <w:sz w:val="22"/>
          <w:lang w:eastAsia="it-IT"/>
        </w:rPr>
        <w:t>Enti Locali</w:t>
      </w:r>
      <w:r w:rsidRPr="002E3A23">
        <w:rPr>
          <w:rFonts w:ascii="Roboto" w:eastAsia="Times New Roman" w:hAnsi="Roboto" w:cs="Times New Roman"/>
          <w:color w:val="1C2024"/>
          <w:sz w:val="22"/>
          <w:lang w:eastAsia="it-IT"/>
        </w:rPr>
        <w:t> in particolare viene stabilito che </w:t>
      </w:r>
      <w:r w:rsidRPr="002E3A23">
        <w:rPr>
          <w:rFonts w:ascii="Roboto" w:eastAsia="Times New Roman" w:hAnsi="Roboto" w:cs="Times New Roman"/>
          <w:b/>
          <w:bCs/>
          <w:color w:val="1C2024"/>
          <w:sz w:val="22"/>
          <w:lang w:eastAsia="it-IT"/>
        </w:rPr>
        <w:t>ci si debba riferire alle qualifiche diverse.</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lastRenderedPageBreak/>
        <w:t>La riformulazione operata intende esplicitare che la nuova disciplina si applica anche alla progressione tra categorie per il personale delle amministrazioni comprese nel comparto Funzioni locali, </w:t>
      </w:r>
      <w:r w:rsidRPr="002E3A23">
        <w:rPr>
          <w:rFonts w:ascii="Roboto" w:eastAsia="Times New Roman" w:hAnsi="Roboto" w:cs="Times New Roman"/>
          <w:b/>
          <w:bCs/>
          <w:color w:val="1C2024"/>
          <w:sz w:val="22"/>
          <w:lang w:eastAsia="it-IT"/>
        </w:rPr>
        <w:t>ove il personale viene notoriamente articolato in categorie, anziché in aree.</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Secondo la norma:</w:t>
      </w:r>
    </w:p>
    <w:p w:rsidR="002E3A23" w:rsidRPr="002E3A23" w:rsidRDefault="002E3A23" w:rsidP="00232F64">
      <w:pPr>
        <w:shd w:val="clear" w:color="auto" w:fill="FFFFFF"/>
        <w:spacing w:line="360" w:lineRule="atLeast"/>
        <w:jc w:val="both"/>
        <w:rPr>
          <w:rFonts w:ascii="Roboto" w:eastAsia="Times New Roman" w:hAnsi="Roboto" w:cs="Times New Roman"/>
          <w:i/>
          <w:iCs/>
          <w:color w:val="1C2024"/>
          <w:sz w:val="27"/>
          <w:szCs w:val="27"/>
          <w:lang w:eastAsia="it-IT"/>
        </w:rPr>
      </w:pPr>
      <w:r w:rsidRPr="002E3A23">
        <w:rPr>
          <w:rFonts w:ascii="Roboto" w:eastAsia="Times New Roman" w:hAnsi="Roboto" w:cs="Times New Roman"/>
          <w:i/>
          <w:iCs/>
          <w:color w:val="1C2024"/>
          <w:sz w:val="27"/>
          <w:szCs w:val="27"/>
          <w:lang w:eastAsia="it-IT"/>
        </w:rPr>
        <w:t>“fatta salva una riserva di almeno il 50% delle posizioni disponibili destinata all’accesso dall’esterno, le progressioni fra le Aree e, </w:t>
      </w:r>
      <w:r w:rsidRPr="002E3A23">
        <w:rPr>
          <w:rFonts w:ascii="Roboto" w:eastAsia="Times New Roman" w:hAnsi="Roboto" w:cs="Times New Roman"/>
          <w:b/>
          <w:bCs/>
          <w:i/>
          <w:iCs/>
          <w:color w:val="1C2024"/>
          <w:sz w:val="27"/>
          <w:szCs w:val="27"/>
          <w:lang w:eastAsia="it-IT"/>
        </w:rPr>
        <w:t>negli Enti Locali, anche fra qualifiche diverse</w:t>
      </w:r>
      <w:r w:rsidRPr="002E3A23">
        <w:rPr>
          <w:rFonts w:ascii="Roboto" w:eastAsia="Times New Roman" w:hAnsi="Roboto" w:cs="Times New Roman"/>
          <w:i/>
          <w:iCs/>
          <w:color w:val="1C2024"/>
          <w:sz w:val="27"/>
          <w:szCs w:val="27"/>
          <w:lang w:eastAsia="it-IT"/>
        </w:rPr>
        <w:t>, avvengono tramite </w:t>
      </w:r>
      <w:r w:rsidRPr="002E3A23">
        <w:rPr>
          <w:rFonts w:ascii="Roboto" w:eastAsia="Times New Roman" w:hAnsi="Roboto" w:cs="Times New Roman"/>
          <w:b/>
          <w:bCs/>
          <w:i/>
          <w:iCs/>
          <w:color w:val="1C2024"/>
          <w:sz w:val="27"/>
          <w:szCs w:val="27"/>
          <w:lang w:eastAsia="it-IT"/>
        </w:rPr>
        <w:t>procedura comparativa</w:t>
      </w:r>
      <w:r w:rsidRPr="002E3A23">
        <w:rPr>
          <w:rFonts w:ascii="Roboto" w:eastAsia="Times New Roman" w:hAnsi="Roboto" w:cs="Times New Roman"/>
          <w:i/>
          <w:iCs/>
          <w:color w:val="1C2024"/>
          <w:sz w:val="27"/>
          <w:szCs w:val="27"/>
          <w:lang w:eastAsia="it-IT"/>
        </w:rPr>
        <w:t> basata sulla valutazione positiva conseguita dal dipendente negli ultimi 3 anni di servizio, sull’assenza di provvedimenti disciplinari, sul possesso di titoli professionali e di studio ulteriori rispetto a quelli previsti per l’accesso all’Area, nonché sul numero e sulla tipologia degli incarichi rivestiti”.</w:t>
      </w:r>
    </w:p>
    <w:p w:rsidR="002E3A23" w:rsidRPr="002E3A23" w:rsidRDefault="002E3A23" w:rsidP="002E3A23">
      <w:pPr>
        <w:shd w:val="clear" w:color="auto" w:fill="FFFFFF"/>
        <w:spacing w:before="420" w:after="210" w:line="324" w:lineRule="atLeast"/>
        <w:outlineLvl w:val="2"/>
        <w:rPr>
          <w:rFonts w:ascii="inherit" w:eastAsia="Times New Roman" w:hAnsi="inherit" w:cs="Times New Roman"/>
          <w:color w:val="808080"/>
          <w:sz w:val="33"/>
          <w:szCs w:val="33"/>
          <w:lang w:eastAsia="it-IT"/>
        </w:rPr>
      </w:pPr>
      <w:r w:rsidRPr="002E3A23">
        <w:rPr>
          <w:rFonts w:ascii="inherit" w:eastAsia="Times New Roman" w:hAnsi="inherit" w:cs="Times New Roman"/>
          <w:color w:val="808080"/>
          <w:sz w:val="33"/>
          <w:szCs w:val="33"/>
          <w:lang w:eastAsia="it-IT"/>
        </w:rPr>
        <w:t>Addio vincolo concorsuale: si passa alla procedura comparativa</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Infine </w:t>
      </w:r>
      <w:r w:rsidRPr="002E3A23">
        <w:rPr>
          <w:rFonts w:ascii="Roboto" w:eastAsia="Times New Roman" w:hAnsi="Roboto" w:cs="Times New Roman"/>
          <w:b/>
          <w:bCs/>
          <w:color w:val="1C2024"/>
          <w:sz w:val="22"/>
          <w:lang w:eastAsia="it-IT"/>
        </w:rPr>
        <w:t>decade il vincolo concorsuale in favore di una procedura comparativa.</w:t>
      </w:r>
    </w:p>
    <w:p w:rsidR="002E3A23" w:rsidRPr="002E3A23" w:rsidRDefault="002E3A23" w:rsidP="00232F64">
      <w:pPr>
        <w:shd w:val="clear" w:color="auto" w:fill="FFFFFF"/>
        <w:spacing w:after="210"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Non esiste più la possibilità di riservare, in sede di concorso, una percentuale di posti ai dipendenti interni all’ente.</w:t>
      </w:r>
    </w:p>
    <w:p w:rsidR="002E3A23" w:rsidRPr="002E3A23" w:rsidRDefault="002E3A23" w:rsidP="002E3A23">
      <w:pPr>
        <w:shd w:val="clear" w:color="auto" w:fill="FFFFFF"/>
        <w:spacing w:after="210" w:line="360" w:lineRule="atLeast"/>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Le uniche due possibilità sono quindi:</w:t>
      </w:r>
    </w:p>
    <w:p w:rsidR="002E3A23" w:rsidRPr="002E3A23" w:rsidRDefault="002E3A23" w:rsidP="00232F64">
      <w:pPr>
        <w:numPr>
          <w:ilvl w:val="0"/>
          <w:numId w:val="9"/>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per il triennio 2020/2022 un concorso riservato agli interni con procedure che non possono superare il 30 per cento di quelle previste nei piani dei fabbisogni come </w:t>
      </w:r>
      <w:r w:rsidRPr="002E3A23">
        <w:rPr>
          <w:rFonts w:ascii="Roboto" w:eastAsia="Times New Roman" w:hAnsi="Roboto" w:cs="Times New Roman"/>
          <w:b/>
          <w:bCs/>
          <w:color w:val="1C2024"/>
          <w:sz w:val="22"/>
          <w:lang w:eastAsia="it-IT"/>
        </w:rPr>
        <w:t>nuove assunzioni consentite per ciascuna categoria</w:t>
      </w:r>
      <w:r w:rsidRPr="002E3A23">
        <w:rPr>
          <w:rFonts w:ascii="Roboto" w:eastAsia="Times New Roman" w:hAnsi="Roboto" w:cs="Times New Roman"/>
          <w:color w:val="1C2024"/>
          <w:sz w:val="22"/>
          <w:lang w:eastAsia="it-IT"/>
        </w:rPr>
        <w:t> (A, B, B3, C, D) come da art. 22 comma 15 del d.lgs. 75/2017;</w:t>
      </w:r>
    </w:p>
    <w:p w:rsidR="002E3A23" w:rsidRPr="002E3A23" w:rsidRDefault="002E3A23" w:rsidP="00232F64">
      <w:pPr>
        <w:numPr>
          <w:ilvl w:val="0"/>
          <w:numId w:val="9"/>
        </w:numPr>
        <w:shd w:val="clear" w:color="auto" w:fill="FFFFFF"/>
        <w:spacing w:before="100" w:beforeAutospacing="1" w:after="100" w:afterAutospacing="1" w:line="360" w:lineRule="atLeast"/>
        <w:jc w:val="both"/>
        <w:rPr>
          <w:rFonts w:ascii="Roboto" w:eastAsia="Times New Roman" w:hAnsi="Roboto" w:cs="Times New Roman"/>
          <w:color w:val="1C2024"/>
          <w:sz w:val="22"/>
          <w:lang w:eastAsia="it-IT"/>
        </w:rPr>
      </w:pPr>
      <w:r w:rsidRPr="002E3A23">
        <w:rPr>
          <w:rFonts w:ascii="Roboto" w:eastAsia="Times New Roman" w:hAnsi="Roboto" w:cs="Times New Roman"/>
          <w:color w:val="1C2024"/>
          <w:sz w:val="22"/>
          <w:lang w:eastAsia="it-IT"/>
        </w:rPr>
        <w:t>il riscritto art. 52 comma 1-bis del </w:t>
      </w:r>
      <w:hyperlink r:id="rId13" w:tgtFrame="_blank" w:history="1">
        <w:r w:rsidRPr="002E3A23">
          <w:rPr>
            <w:rFonts w:ascii="Roboto" w:eastAsia="Times New Roman" w:hAnsi="Roboto" w:cs="Times New Roman"/>
            <w:color w:val="0000FF"/>
            <w:sz w:val="22"/>
            <w:u w:val="single"/>
            <w:lang w:eastAsia="it-IT"/>
          </w:rPr>
          <w:t>d.lgs. 165/2001</w:t>
        </w:r>
      </w:hyperlink>
      <w:r w:rsidRPr="002E3A23">
        <w:rPr>
          <w:rFonts w:ascii="Roboto" w:eastAsia="Times New Roman" w:hAnsi="Roboto" w:cs="Times New Roman"/>
          <w:color w:val="1C2024"/>
          <w:sz w:val="22"/>
          <w:lang w:eastAsia="it-IT"/>
        </w:rPr>
        <w:t> che prevede la più “semplice” procedura comparativa.</w:t>
      </w:r>
    </w:p>
    <w:p w:rsidR="008468BC" w:rsidRDefault="008468BC"/>
    <w:sectPr w:rsidR="00846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160"/>
    <w:multiLevelType w:val="multilevel"/>
    <w:tmpl w:val="E8B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0E53"/>
    <w:multiLevelType w:val="multilevel"/>
    <w:tmpl w:val="56B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4DC0"/>
    <w:multiLevelType w:val="multilevel"/>
    <w:tmpl w:val="2CA0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F45AE"/>
    <w:multiLevelType w:val="multilevel"/>
    <w:tmpl w:val="AE0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1120A"/>
    <w:multiLevelType w:val="multilevel"/>
    <w:tmpl w:val="578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72714"/>
    <w:multiLevelType w:val="multilevel"/>
    <w:tmpl w:val="EB7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25FCC"/>
    <w:multiLevelType w:val="multilevel"/>
    <w:tmpl w:val="B350B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25D82"/>
    <w:multiLevelType w:val="multilevel"/>
    <w:tmpl w:val="36E4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2775B"/>
    <w:multiLevelType w:val="multilevel"/>
    <w:tmpl w:val="605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5"/>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3"/>
    <w:rsid w:val="00232F64"/>
    <w:rsid w:val="002E3A23"/>
    <w:rsid w:val="0084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9373"/>
  <w15:chartTrackingRefBased/>
  <w15:docId w15:val="{800AEA53-BFBD-41CD-AB2A-6B52B13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3191">
      <w:bodyDiv w:val="1"/>
      <w:marLeft w:val="0"/>
      <w:marRight w:val="0"/>
      <w:marTop w:val="0"/>
      <w:marBottom w:val="0"/>
      <w:divBdr>
        <w:top w:val="none" w:sz="0" w:space="0" w:color="auto"/>
        <w:left w:val="none" w:sz="0" w:space="0" w:color="auto"/>
        <w:bottom w:val="none" w:sz="0" w:space="0" w:color="auto"/>
        <w:right w:val="none" w:sz="0" w:space="0" w:color="auto"/>
      </w:divBdr>
      <w:divsChild>
        <w:div w:id="946697818">
          <w:marLeft w:val="0"/>
          <w:marRight w:val="0"/>
          <w:marTop w:val="0"/>
          <w:marBottom w:val="600"/>
          <w:divBdr>
            <w:top w:val="none" w:sz="0" w:space="0" w:color="auto"/>
            <w:left w:val="none" w:sz="0" w:space="0" w:color="auto"/>
            <w:bottom w:val="none" w:sz="0" w:space="0" w:color="auto"/>
            <w:right w:val="none" w:sz="0" w:space="0" w:color="auto"/>
          </w:divBdr>
        </w:div>
        <w:div w:id="445657952">
          <w:marLeft w:val="0"/>
          <w:marRight w:val="0"/>
          <w:marTop w:val="0"/>
          <w:marBottom w:val="750"/>
          <w:divBdr>
            <w:top w:val="none" w:sz="0" w:space="0" w:color="auto"/>
            <w:left w:val="none" w:sz="0" w:space="0" w:color="auto"/>
            <w:bottom w:val="none" w:sz="0" w:space="0" w:color="auto"/>
            <w:right w:val="none" w:sz="0" w:space="0" w:color="auto"/>
          </w:divBdr>
          <w:divsChild>
            <w:div w:id="1851607039">
              <w:marLeft w:val="0"/>
              <w:marRight w:val="0"/>
              <w:marTop w:val="240"/>
              <w:marBottom w:val="240"/>
              <w:divBdr>
                <w:top w:val="none" w:sz="0" w:space="0" w:color="auto"/>
                <w:left w:val="none" w:sz="0" w:space="0" w:color="auto"/>
                <w:bottom w:val="none" w:sz="0" w:space="0" w:color="auto"/>
                <w:right w:val="none" w:sz="0" w:space="0" w:color="auto"/>
              </w:divBdr>
              <w:divsChild>
                <w:div w:id="282075188">
                  <w:marLeft w:val="0"/>
                  <w:marRight w:val="0"/>
                  <w:marTop w:val="0"/>
                  <w:marBottom w:val="0"/>
                  <w:divBdr>
                    <w:top w:val="none" w:sz="0" w:space="0" w:color="auto"/>
                    <w:left w:val="none" w:sz="0" w:space="0" w:color="auto"/>
                    <w:bottom w:val="none" w:sz="0" w:space="0" w:color="auto"/>
                    <w:right w:val="none" w:sz="0" w:space="0" w:color="auto"/>
                  </w:divBdr>
                </w:div>
              </w:divsChild>
            </w:div>
            <w:div w:id="1477647371">
              <w:marLeft w:val="0"/>
              <w:marRight w:val="0"/>
              <w:marTop w:val="0"/>
              <w:marBottom w:val="240"/>
              <w:divBdr>
                <w:top w:val="single" w:sz="6" w:space="8" w:color="AAAAAA"/>
                <w:left w:val="single" w:sz="6" w:space="8" w:color="AAAAAA"/>
                <w:bottom w:val="single" w:sz="6" w:space="8" w:color="AAAAAA"/>
                <w:right w:val="single" w:sz="6" w:space="8" w:color="AAAAAA"/>
              </w:divBdr>
              <w:divsChild>
                <w:div w:id="252209181">
                  <w:marLeft w:val="0"/>
                  <w:marRight w:val="0"/>
                  <w:marTop w:val="0"/>
                  <w:marBottom w:val="0"/>
                  <w:divBdr>
                    <w:top w:val="none" w:sz="0" w:space="0" w:color="auto"/>
                    <w:left w:val="none" w:sz="0" w:space="0" w:color="auto"/>
                    <w:bottom w:val="none" w:sz="0" w:space="0" w:color="auto"/>
                    <w:right w:val="none" w:sz="0" w:space="0" w:color="auto"/>
                  </w:divBdr>
                </w:div>
              </w:divsChild>
            </w:div>
            <w:div w:id="415900464">
              <w:blockQuote w:val="1"/>
              <w:marLeft w:val="0"/>
              <w:marRight w:val="0"/>
              <w:marTop w:val="0"/>
              <w:marBottom w:val="420"/>
              <w:divBdr>
                <w:top w:val="none" w:sz="0" w:space="0" w:color="auto"/>
                <w:left w:val="single" w:sz="36" w:space="21" w:color="C6C6C6"/>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tepubblica.it/personale-e-previdenza/progressioni-verticali-enti-locali/" TargetMode="External"/><Relationship Id="rId13" Type="http://schemas.openxmlformats.org/officeDocument/2006/relationships/hyperlink" Target="https://www.normattiva.it/uri-res/N2Ls?urn:nir:stato:decreto.legislativo:2001-03-30;165!vig" TargetMode="External"/><Relationship Id="rId3" Type="http://schemas.openxmlformats.org/officeDocument/2006/relationships/settings" Target="settings.xml"/><Relationship Id="rId7" Type="http://schemas.openxmlformats.org/officeDocument/2006/relationships/hyperlink" Target="https://www.lentepubblica.it/personale-e-previdenza/progressioni-verticali-enti-locali/" TargetMode="External"/><Relationship Id="rId12" Type="http://schemas.openxmlformats.org/officeDocument/2006/relationships/hyperlink" Target="https://www.lentepubblica.it/personale-e-previdenza/camera-approva-dl-reclu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tepubblica.it/personale-e-previdenza/progressioni-verticali-enti-locali/" TargetMode="External"/><Relationship Id="rId11" Type="http://schemas.openxmlformats.org/officeDocument/2006/relationships/hyperlink" Target="https://www.gazzettaufficiale.it/eli/id/2017/06/07/17G00089/sg" TargetMode="External"/><Relationship Id="rId5" Type="http://schemas.openxmlformats.org/officeDocument/2006/relationships/hyperlink" Target="https://www.lentepubblica.it/personale-e-previdenza/progressioni-economiche-orizzontali-dipendenti-pubblici/" TargetMode="External"/><Relationship Id="rId15" Type="http://schemas.openxmlformats.org/officeDocument/2006/relationships/theme" Target="theme/theme1.xml"/><Relationship Id="rId10" Type="http://schemas.openxmlformats.org/officeDocument/2006/relationships/hyperlink" Target="https://www.lentepubblica.it/personale-e-previdenza/progressioni-verticali-enti-locali/" TargetMode="External"/><Relationship Id="rId4" Type="http://schemas.openxmlformats.org/officeDocument/2006/relationships/webSettings" Target="webSettings.xml"/><Relationship Id="rId9" Type="http://schemas.openxmlformats.org/officeDocument/2006/relationships/hyperlink" Target="https://www.lentepubblica.it/personale-e-previdenza/progressioni-verticali-enti-local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Tullio</dc:creator>
  <cp:keywords/>
  <dc:description/>
  <cp:lastModifiedBy>Tullio</cp:lastModifiedBy>
  <cp:revision>3</cp:revision>
  <dcterms:created xsi:type="dcterms:W3CDTF">2022-01-13T15:56:00Z</dcterms:created>
  <dcterms:modified xsi:type="dcterms:W3CDTF">2022-01-13T16:00:00Z</dcterms:modified>
</cp:coreProperties>
</file>