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B3861">
      <w:pPr>
        <w:pStyle w:val="NormaleWeb"/>
        <w:jc w:val="right"/>
      </w:pPr>
      <w:r>
        <w:rPr>
          <w:b/>
          <w:bCs/>
        </w:rPr>
        <w:t>MAGGIOLI EDITORE - La Gazzetta degli Enti Locali</w:t>
      </w:r>
    </w:p>
    <w:p w:rsidR="00000000" w:rsidRDefault="005B3861">
      <w:pPr>
        <w:rPr>
          <w:rFonts w:eastAsia="Times New Roman"/>
        </w:rPr>
      </w:pPr>
      <w:r>
        <w:rPr>
          <w:rFonts w:eastAsia="Times New Roman"/>
        </w:rPr>
        <w:pict>
          <v:rect id="_x0000_i1025" style="width:0;height:1.5pt" o:hralign="center" o:hrstd="t" o:hr="t" fillcolor="#a0a0a0" stroked="f"/>
        </w:pict>
      </w:r>
    </w:p>
    <w:p w:rsidR="00000000" w:rsidRDefault="005B3861">
      <w:pPr>
        <w:pStyle w:val="NormaleWeb"/>
      </w:pPr>
      <w:bookmarkStart w:id="0" w:name="_GoBack"/>
      <w:r>
        <w:t>Domande e risposte sulla nuova possibilità di progressioni tra aree “in deroga” negli Enti locali prevista nel nuovo CCNL Funzioni Locali</w:t>
      </w:r>
      <w:bookmarkEnd w:id="0"/>
      <w:r>
        <w:br/>
        <w:t>Le FAQ redatte dal nostro esperto Amedeo Scarsella</w:t>
      </w:r>
    </w:p>
    <w:p w:rsidR="00000000" w:rsidRDefault="005B3861">
      <w:pPr>
        <w:pStyle w:val="NormaleWeb"/>
      </w:pPr>
      <w:r>
        <w:rPr>
          <w:rStyle w:val="Enfasicorsivo"/>
        </w:rPr>
        <w:t>a cura di AMEDEO SCARSELLA</w:t>
      </w:r>
    </w:p>
    <w:p w:rsidR="00000000" w:rsidRDefault="005B3861">
      <w:pPr>
        <w:pStyle w:val="NormaleWeb"/>
      </w:pPr>
      <w:r>
        <w:rPr>
          <w:rStyle w:val="Enfasicorsivo"/>
        </w:rPr>
        <w:t>Forn</w:t>
      </w:r>
      <w:r>
        <w:rPr>
          <w:rStyle w:val="Enfasicorsivo"/>
        </w:rPr>
        <w:t>iamo di seguito alcune utile FAQ in relazione alla nuova possibilità di progressioni tra aree “in deroga” negli Enti locali prevista nel nuovo CCNL Funzioni Locali (2019-2021)</w:t>
      </w:r>
    </w:p>
    <w:p w:rsidR="00000000" w:rsidRDefault="005B3861">
      <w:pPr>
        <w:pStyle w:val="NormaleWeb"/>
      </w:pPr>
      <w:r>
        <w:rPr>
          <w:rStyle w:val="Enfasigrassetto"/>
        </w:rPr>
        <w:t>Il passaggio da un’area inferiore a quella superiore ha alla base una norma di l</w:t>
      </w:r>
      <w:r>
        <w:rPr>
          <w:rStyle w:val="Enfasigrassetto"/>
        </w:rPr>
        <w:t>egge?</w:t>
      </w:r>
      <w:r>
        <w:rPr>
          <w:b/>
          <w:bCs/>
        </w:rPr>
        <w:br/>
      </w:r>
      <w:r>
        <w:rPr>
          <w:rStyle w:val="Enfasigrassetto"/>
        </w:rPr>
        <w:t>SI</w:t>
      </w:r>
      <w:r>
        <w:t>. L’art. 52, comma 1-</w:t>
      </w:r>
      <w:r>
        <w:rPr>
          <w:rStyle w:val="Enfasicorsivo"/>
        </w:rPr>
        <w:t>bis,</w:t>
      </w:r>
      <w:r>
        <w:t xml:space="preserve"> del d.lgs. n. 165/2001, come modificato dal d.l. n. 80/2021, dopo aver prescritto che I dipendenti pubblici, con esclusione dei dirigenti e del personale docente della scuola, delle accademie, dei conservatori e degli isti</w:t>
      </w:r>
      <w:r>
        <w:t xml:space="preserve">tuti assimilati, sono inquadrati in almeno tre distinte aree funzionali, espressamente prevede che “Fatta salva una riserva di almeno il 50 per cento delle posizioni disponibili destinata all’accesso dall’esterno, le progressioni fra le aree e, negli enti </w:t>
      </w:r>
      <w:r>
        <w:t>locali, anche fra qualifiche diverse, avvengono tramite procedura comparativa</w:t>
      </w:r>
      <w:r>
        <w:rPr>
          <w:rStyle w:val="Enfasicorsivo"/>
        </w:rPr>
        <w:t xml:space="preserve"> basata sulla valutazione positiva conseguita dal dipendente negli ultimi tre anni in servizio, sull’assenza di provvedimenti disciplinari, sul possesso di titoli o competenze pro</w:t>
      </w:r>
      <w:r>
        <w:rPr>
          <w:rStyle w:val="Enfasicorsivo"/>
        </w:rPr>
        <w:t xml:space="preserve">fessionali ovvero di studio ulteriori rispetto a quelli previsti per l’accesso all’area dall’esterno, nonché sul numero e sulla tipologia de gli incarichi rivestiti. </w:t>
      </w:r>
      <w:r>
        <w:rPr>
          <w:rStyle w:val="Enfasigrassetto"/>
          <w:i/>
          <w:iCs/>
        </w:rPr>
        <w:t xml:space="preserve">In sede di revisione degli ordinamenti professionali, i contratti collettivi nazionali di </w:t>
      </w:r>
      <w:r>
        <w:rPr>
          <w:rStyle w:val="Enfasigrassetto"/>
          <w:i/>
          <w:iCs/>
        </w:rPr>
        <w:t>lavoro di comparto per il periodo 2019-2021 possono definire tabelle di corrispondenza tra vecchi e nuovi inquadramenti, ad esclusione dell’area di cui al secondo periodo, sulla base di requisiti di esperienza e professionalità maturate ed effettivamente u</w:t>
      </w:r>
      <w:r>
        <w:rPr>
          <w:rStyle w:val="Enfasigrassetto"/>
          <w:i/>
          <w:iCs/>
        </w:rPr>
        <w:t>tilizzate dall’amministrazione di appartenenza per almeno cinque anni, anche in deroga al possesso del titolo di studio richiesto per l’accesso all’area dall’esterno.</w:t>
      </w:r>
      <w:r>
        <w:rPr>
          <w:rStyle w:val="Enfasicorsivo"/>
        </w:rPr>
        <w:t xml:space="preserve"> All’attuazione del presente comma si provvede nei limiti delle risorse destinate ad assun</w:t>
      </w:r>
      <w:r>
        <w:rPr>
          <w:rStyle w:val="Enfasicorsivo"/>
        </w:rPr>
        <w:t>zioni di personale a tempo indeterminato disponibili a legislazione vigente”.</w:t>
      </w:r>
    </w:p>
    <w:p w:rsidR="00000000" w:rsidRDefault="005B3861">
      <w:pPr>
        <w:pStyle w:val="NormaleWeb"/>
      </w:pPr>
      <w:r>
        <w:rPr>
          <w:rStyle w:val="Enfasigrassetto"/>
        </w:rPr>
        <w:t>Il CCNL 2019-2021 relativo al comparto delle Funzioni Locali prevede la possibilità di effettuare le progressioni tra distinte aree funzionali?</w:t>
      </w:r>
      <w:r>
        <w:rPr>
          <w:b/>
          <w:bCs/>
        </w:rPr>
        <w:br/>
      </w:r>
      <w:r>
        <w:rPr>
          <w:rStyle w:val="Enfasigrassetto"/>
        </w:rPr>
        <w:t>SI</w:t>
      </w:r>
      <w:r>
        <w:t>. Il CCNL 2019-2021, nel rispett</w:t>
      </w:r>
      <w:r>
        <w:t>o di determinati presupposti, prevede la possibilità per il personale di effettuare la progressione tra le aree, dettando disposizioni differenti, in ordine alle procedure, ai limiti di spesa ed ai requisiti di partecipazione per il periodo transitorio fin</w:t>
      </w:r>
      <w:r>
        <w:t>o al 2025 (art. 13, commi 6 e seguenti) e per il periodo a regime (art. 15, comma 1).</w:t>
      </w:r>
    </w:p>
    <w:p w:rsidR="00000000" w:rsidRDefault="005B3861">
      <w:pPr>
        <w:pStyle w:val="NormaleWeb"/>
      </w:pPr>
      <w:r>
        <w:rPr>
          <w:rStyle w:val="Enfasigrassetto"/>
        </w:rPr>
        <w:t>La disciplina per le progressioni tra distinte aree funzionali del periodo transitorio (cd “progressioni in deroga”) è differente rispetto a quella dettata a regime?</w:t>
      </w:r>
      <w:r>
        <w:rPr>
          <w:b/>
          <w:bCs/>
        </w:rPr>
        <w:br/>
      </w:r>
      <w:r>
        <w:rPr>
          <w:rStyle w:val="Enfasigrassetto"/>
        </w:rPr>
        <w:t xml:space="preserve">Per </w:t>
      </w:r>
      <w:r>
        <w:rPr>
          <w:rStyle w:val="Enfasigrassetto"/>
        </w:rPr>
        <w:t>quel che riguarda i presupposti, le procedure, i limiti di spesa ed i requisiti per poter partecipare alle progressioni</w:t>
      </w:r>
      <w:r>
        <w:t xml:space="preserve"> vi sono discipline differenti per il periodo transitorio (fino al 2015) e per il periodo successivo. Occorre evidenziare, però, che vi s</w:t>
      </w:r>
      <w:r>
        <w:t>ono poi disposizioni comuni alle due diverse procedure riguardanti:</w:t>
      </w:r>
    </w:p>
    <w:p w:rsidR="00000000" w:rsidRDefault="005B3861">
      <w:pPr>
        <w:numPr>
          <w:ilvl w:val="0"/>
          <w:numId w:val="1"/>
        </w:numPr>
        <w:spacing w:before="100" w:beforeAutospacing="1" w:after="100" w:afterAutospacing="1"/>
        <w:rPr>
          <w:rFonts w:eastAsia="Times New Roman"/>
        </w:rPr>
      </w:pPr>
      <w:r>
        <w:rPr>
          <w:rFonts w:eastAsia="Times New Roman"/>
        </w:rPr>
        <w:t>la necessità che la progressione sia prevista nel piano dei fabbisogni (oggi confluito nel PIAO);</w:t>
      </w:r>
    </w:p>
    <w:p w:rsidR="00000000" w:rsidRDefault="005B3861">
      <w:pPr>
        <w:numPr>
          <w:ilvl w:val="0"/>
          <w:numId w:val="1"/>
        </w:numPr>
        <w:spacing w:before="100" w:beforeAutospacing="1" w:after="100" w:afterAutospacing="1"/>
        <w:rPr>
          <w:rFonts w:eastAsia="Times New Roman"/>
        </w:rPr>
      </w:pPr>
      <w:r>
        <w:rPr>
          <w:rFonts w:eastAsia="Times New Roman"/>
        </w:rPr>
        <w:t>una percentuale almeno pari al 50% del personale deve essere reclutata con le ordinarie fa</w:t>
      </w:r>
      <w:r>
        <w:rPr>
          <w:rFonts w:eastAsia="Times New Roman"/>
        </w:rPr>
        <w:t xml:space="preserve">coltà assunzionali mediante accesso dall’esterno, </w:t>
      </w:r>
      <w:r>
        <w:rPr>
          <w:rStyle w:val="Enfasigrassetto"/>
          <w:rFonts w:eastAsia="Times New Roman"/>
        </w:rPr>
        <w:t xml:space="preserve">ad eccezione delle progressioni in deroga finanziate mediante l’utilizzo delle risorse determinate ai sensi dell’art.1, </w:t>
      </w:r>
      <w:r>
        <w:rPr>
          <w:rStyle w:val="Enfasigrassetto"/>
          <w:rFonts w:eastAsia="Times New Roman"/>
        </w:rPr>
        <w:lastRenderedPageBreak/>
        <w:t>comma 612, della L. n. 234 del 30.12.2021 (Legge di Bilancio 2022), in misura non supe</w:t>
      </w:r>
      <w:r>
        <w:rPr>
          <w:rStyle w:val="Enfasigrassetto"/>
          <w:rFonts w:eastAsia="Times New Roman"/>
        </w:rPr>
        <w:t>riore allo 0.55% del m.s. dell’anno 2018, relativo al personale destinatario del presente CCNL (cfr., orientamenti ARAN CFL 208 e 209);</w:t>
      </w:r>
    </w:p>
    <w:p w:rsidR="00000000" w:rsidRDefault="005B3861">
      <w:pPr>
        <w:numPr>
          <w:ilvl w:val="0"/>
          <w:numId w:val="1"/>
        </w:numPr>
        <w:spacing w:before="100" w:beforeAutospacing="1" w:after="100" w:afterAutospacing="1"/>
        <w:rPr>
          <w:rFonts w:eastAsia="Times New Roman"/>
        </w:rPr>
      </w:pPr>
      <w:r>
        <w:rPr>
          <w:rFonts w:eastAsia="Times New Roman"/>
        </w:rPr>
        <w:t>sia svolta una procedura comparativa tra i diversi partecipanti;</w:t>
      </w:r>
    </w:p>
    <w:p w:rsidR="00000000" w:rsidRDefault="005B3861">
      <w:pPr>
        <w:numPr>
          <w:ilvl w:val="0"/>
          <w:numId w:val="1"/>
        </w:numPr>
        <w:spacing w:before="100" w:beforeAutospacing="1" w:after="100" w:afterAutospacing="1"/>
        <w:rPr>
          <w:rFonts w:eastAsia="Times New Roman"/>
        </w:rPr>
      </w:pPr>
      <w:r>
        <w:rPr>
          <w:rFonts w:eastAsia="Times New Roman"/>
        </w:rPr>
        <w:t>gli effetti ai fini del rapporto del lavoro e in ordine</w:t>
      </w:r>
      <w:r>
        <w:rPr>
          <w:rFonts w:eastAsia="Times New Roman"/>
        </w:rPr>
        <w:t xml:space="preserve"> ad alcuni istituti economici e giuridici (art. 15, commi 2 e 3).</w:t>
      </w:r>
    </w:p>
    <w:p w:rsidR="00000000" w:rsidRDefault="005B3861">
      <w:pPr>
        <w:pStyle w:val="NormaleWeb"/>
      </w:pPr>
      <w:r>
        <w:rPr>
          <w:rStyle w:val="Enfasigrassetto"/>
        </w:rPr>
        <w:t>Per le progressioni in deroga per partecipare alle selezioni è possibile derogare ai titoli di studio ordinariamente previsti per l’accesso ad un determinato profilo professionali?</w:t>
      </w:r>
      <w:r>
        <w:rPr>
          <w:b/>
          <w:bCs/>
        </w:rPr>
        <w:br/>
      </w:r>
      <w:r>
        <w:t>L’art. 13</w:t>
      </w:r>
      <w:r>
        <w:t>, comma 6, dell’Ipotesi di accordo prevede che</w:t>
      </w:r>
      <w:r>
        <w:rPr>
          <w:rStyle w:val="Enfasigrassetto"/>
        </w:rPr>
        <w:t xml:space="preserve"> “</w:t>
      </w:r>
      <w:r>
        <w:rPr>
          <w:rStyle w:val="Enfasicorsivo"/>
        </w:rPr>
        <w:t>al fine di tener conto dell’esperienza e professionalità maturate ed effettivamente utilizzate dall’amministrazione di appartenenza, in fase di prima applicazione del nuovo ordinamento professionale e, comunq</w:t>
      </w:r>
      <w:r>
        <w:rPr>
          <w:rStyle w:val="Enfasicorsivo"/>
        </w:rPr>
        <w:t xml:space="preserve">ue, entro il termine del 31 dicembre 2025, la progressione tra le aree può aver luogo con procedure valutative cui sono ammessi i dipendenti in servizio in possesso dei requisiti indicati nella allegata Tabella C di Corrispondenza”. </w:t>
      </w:r>
      <w:r>
        <w:t>La citata tabella di co</w:t>
      </w:r>
      <w:r>
        <w:t>rrispondenza ammette alle selezioni anche i dipendenti in possesso di titoli di studio inferiori, purché in possesso di un numero di anni di esperienza.</w:t>
      </w:r>
    </w:p>
    <w:p w:rsidR="00000000" w:rsidRDefault="005B3861">
      <w:pPr>
        <w:pStyle w:val="NormaleWeb"/>
      </w:pPr>
      <w:r>
        <w:rPr>
          <w:rStyle w:val="Enfasigrassetto"/>
        </w:rPr>
        <w:t>Per effettuare le progressioni tra aree in deroga quali criteri debbono essere previsti? C’è bisogno di</w:t>
      </w:r>
      <w:r>
        <w:rPr>
          <w:rStyle w:val="Enfasigrassetto"/>
        </w:rPr>
        <w:t xml:space="preserve"> rispettare qualche modello di relazione sindacale particolare da parte delle amministrazioni prima di determinare in sede locale i criteri?</w:t>
      </w:r>
      <w:r>
        <w:rPr>
          <w:b/>
          <w:bCs/>
        </w:rPr>
        <w:br/>
      </w:r>
      <w:r>
        <w:rPr>
          <w:rStyle w:val="Enfasigrassetto"/>
        </w:rPr>
        <w:t xml:space="preserve">SI, </w:t>
      </w:r>
      <w:r>
        <w:t>l’art. 13, comma 7 dispone che “</w:t>
      </w:r>
      <w:r>
        <w:rPr>
          <w:rStyle w:val="Enfasicorsivo"/>
        </w:rPr>
        <w:t>Le amministrazioni definiscono, in relazione alle caratteristiche proprie delle</w:t>
      </w:r>
      <w:r>
        <w:rPr>
          <w:rStyle w:val="Enfasicorsivo"/>
        </w:rPr>
        <w:t xml:space="preserve"> aree di destinazione </w:t>
      </w:r>
      <w:r>
        <w:rPr>
          <w:rStyle w:val="Enfasigrassetto"/>
          <w:i/>
          <w:iCs/>
        </w:rPr>
        <w:t>e previo confronto di cui all’art. 5 (Confronto),</w:t>
      </w:r>
      <w:r>
        <w:rPr>
          <w:rStyle w:val="Enfasicorsivo"/>
        </w:rPr>
        <w:t xml:space="preserve"> i criteri per l’effettuazione delle procedure di cui al comma 6 sulla base dei seguenti elementi di valutazione a ciascuno dei quali deve essere attribuito un peso percentuale non infe</w:t>
      </w:r>
      <w:r>
        <w:rPr>
          <w:rStyle w:val="Enfasicorsivo"/>
        </w:rPr>
        <w:t>riore al 20%: a) esperienza maturata nell’area di provenienza, anche a tempo determinato; b) titolo di studio; c) competenze professionali quali, a titolo esemplificativo, le competenze acquisite attraverso percorsi formativi, le competenze certificate (es</w:t>
      </w:r>
      <w:r>
        <w:rPr>
          <w:rStyle w:val="Enfasicorsivo"/>
        </w:rPr>
        <w:t>. competenze informatiche o linguistiche), le competenze acquisite nei contesti lavorativi, le abilitazioni professionali</w:t>
      </w:r>
      <w:r>
        <w:t xml:space="preserve">”. È pertanto necessario che della proposta dell’Amministrazione, redatta secondo i criteri indicati, sia data preventiva informazione </w:t>
      </w:r>
      <w:r>
        <w:t>alle organizzazioni sindacali ai fini dell’eventuale attivazione del confronto.</w:t>
      </w:r>
    </w:p>
    <w:p w:rsidR="00000000" w:rsidRDefault="005B3861">
      <w:pPr>
        <w:pStyle w:val="NormaleWeb"/>
      </w:pPr>
      <w:r>
        <w:rPr>
          <w:rStyle w:val="Enfasigrassetto"/>
        </w:rPr>
        <w:t>Per le progressioni in deroga vi è qualche forma particolare di finanziamento?</w:t>
      </w:r>
      <w:r>
        <w:rPr>
          <w:b/>
          <w:bCs/>
        </w:rPr>
        <w:br/>
      </w:r>
      <w:r>
        <w:rPr>
          <w:rStyle w:val="Enfasigrassetto"/>
        </w:rPr>
        <w:t>SI</w:t>
      </w:r>
      <w:r>
        <w:t>. Le progressioni tra aree sono finanziate mediante l’utilizzo delle risorse determinate ai sen</w:t>
      </w:r>
      <w:r>
        <w:t>si dell’art.1, comma 612, della L. n. 234 del 30 dicembre 2021 (Legge di Bilancio 2022), in misura non superiore allo 0.55% del m.s. dell’anno 2018, relativo al personale destinatario del presente CCNL. La norma della legge di bilancio per il 2022 “</w:t>
      </w:r>
      <w:r>
        <w:rPr>
          <w:rStyle w:val="Enfasicorsivo"/>
        </w:rPr>
        <w:t>prevede</w:t>
      </w:r>
      <w:r>
        <w:rPr>
          <w:rStyle w:val="Enfasicorsivo"/>
        </w:rPr>
        <w:t>, per le amministrazioni statali, uno stanziamento aggiuntivo destinato ai rinnovi contrattuali del triennio 2019-2021 e, per le altre amministrazioni, la possibilità di stanziare risorse, a carico dei propri bilanci, entro i medesimi limiti finanziari</w:t>
      </w:r>
      <w:r>
        <w:rPr>
          <w:rStyle w:val="Enfasigrassetto"/>
          <w:i/>
          <w:iCs/>
        </w:rPr>
        <w:t>. Si</w:t>
      </w:r>
      <w:r>
        <w:rPr>
          <w:rStyle w:val="Enfasigrassetto"/>
          <w:i/>
          <w:iCs/>
        </w:rPr>
        <w:t xml:space="preserve"> tratta, con ogni evidenza, di risorse destinate ad incrementi retributivi, seppure di una natura particolare, in quanto finalizzate a sostenere la fase di definizione e prima applicazione dei nuovi ordinamenti professionali</w:t>
      </w:r>
      <w:r>
        <w:rPr>
          <w:rStyle w:val="Enfasicorsivo"/>
        </w:rPr>
        <w:t>. È utile ricordare che tali ris</w:t>
      </w:r>
      <w:r>
        <w:rPr>
          <w:rStyle w:val="Enfasicorsivo"/>
        </w:rPr>
        <w:t>orse sono state previste non per tutto il personale pubblico, ma solo per il personale interessato dal processo di revisione degli ordinamenti professionali. La destinazione integrale a progressioni verticali, effettuate con procedura speciale, in un perio</w:t>
      </w:r>
      <w:r>
        <w:rPr>
          <w:rStyle w:val="Enfasicorsivo"/>
        </w:rPr>
        <w:t>do temporalmente definito, coincidente con la fase di prima applicazione del nuovo ordinamento professionale, appare dunque coerente con la loro natura (risorse destinate al rinnovo contrattuale) e con la loro esplicita finalizzazione (definire i nuovi ord</w:t>
      </w:r>
      <w:r>
        <w:rPr>
          <w:rStyle w:val="Enfasicorsivo"/>
        </w:rPr>
        <w:t>inamenti professionali del personale)</w:t>
      </w:r>
      <w:r>
        <w:t>”.</w:t>
      </w:r>
      <w:r>
        <w:br/>
        <w:t>Accanto a tali risorse gli Enti locali possono utilizzare anche le ordinarie risorse assunzionali per tali progressioni, ma in tal caso debbono garantire in misura adeguata l’accesso dall’esterno (almeno 50% dei post</w:t>
      </w:r>
      <w:r>
        <w:t>i finanziati con tali risorse) (ARAN, CFC 209).</w:t>
      </w:r>
    </w:p>
    <w:p w:rsidR="00000000" w:rsidRDefault="005B3861">
      <w:pPr>
        <w:pStyle w:val="NormaleWeb"/>
      </w:pPr>
      <w:r>
        <w:rPr>
          <w:rStyle w:val="Enfasigrassetto"/>
        </w:rPr>
        <w:lastRenderedPageBreak/>
        <w:t>Per calcolare il costo di una progressione tra aree occorre calcolare l’intero onere del trattamento economico relativo alla nuova area professionale di destinazione del dipendente?</w:t>
      </w:r>
      <w:r>
        <w:rPr>
          <w:b/>
          <w:bCs/>
        </w:rPr>
        <w:br/>
      </w:r>
      <w:r>
        <w:rPr>
          <w:rStyle w:val="Enfasigrassetto"/>
        </w:rPr>
        <w:t>NO</w:t>
      </w:r>
      <w:r>
        <w:t>. In caso di progression</w:t>
      </w:r>
      <w:r>
        <w:t xml:space="preserve">e tra le aree di cui all’art. 13, comma 6 del CCNL 16 novembre 2022, il consumo di risorse da imputare allo 0,55% del monte salari 2018 è dato </w:t>
      </w:r>
      <w:r>
        <w:rPr>
          <w:rStyle w:val="Enfasigrassetto"/>
        </w:rPr>
        <w:t>dalla differenza tra i valori annuali</w:t>
      </w:r>
      <w:r>
        <w:t xml:space="preserve"> di stipendio tabellare + quota dell’indennità di comparto a carico del bila</w:t>
      </w:r>
      <w:r>
        <w:t>ncio dell’area di destinazione e stipendio tabellare + quota dell’indennità di comparto a carico del bilancio dell’area di appartenenza (ARAN, CFC 207).</w:t>
      </w:r>
    </w:p>
    <w:p w:rsidR="00000000" w:rsidRDefault="005B3861">
      <w:pPr>
        <w:pStyle w:val="NormaleWeb"/>
      </w:pPr>
      <w:r>
        <w:rPr>
          <w:rStyle w:val="Enfasigrassetto"/>
        </w:rPr>
        <w:t>La disciplina comune applicabile alle progressioni tra aree prevede per il dipendente interessato la pe</w:t>
      </w:r>
      <w:r>
        <w:rPr>
          <w:rStyle w:val="Enfasigrassetto"/>
        </w:rPr>
        <w:t>rdita delle ferie precedentemente maturate?</w:t>
      </w:r>
      <w:r>
        <w:rPr>
          <w:b/>
          <w:bCs/>
        </w:rPr>
        <w:br/>
      </w:r>
      <w:r>
        <w:rPr>
          <w:rStyle w:val="Enfasigrassetto"/>
        </w:rPr>
        <w:t>NO</w:t>
      </w:r>
      <w:r>
        <w:t>. L’art. 15, comma 2, dispone che “</w:t>
      </w:r>
      <w:r>
        <w:rPr>
          <w:rStyle w:val="Enfasicorsivo"/>
        </w:rPr>
        <w:t xml:space="preserve">In caso di passaggio all’area immediatamente superiore, il dipendente, è esonerato dal periodo di prova ai sensi dell’art. 25 (Periodo di prova) comma 2 e, nel rispetto della </w:t>
      </w:r>
      <w:r>
        <w:rPr>
          <w:rStyle w:val="Enfasicorsivo"/>
        </w:rPr>
        <w:t>disciplina vigente, conserva le giornate di ferie maturate e non fruite. Conserva, inoltre la retribuzione individuale di anzianità (RIA) che, conseguentemente non confluisce nel Fondo risorse decentrate</w:t>
      </w:r>
      <w:r>
        <w:t>”.</w:t>
      </w:r>
    </w:p>
    <w:p w:rsidR="00000000" w:rsidRDefault="005B3861">
      <w:pPr>
        <w:pStyle w:val="NormaleWeb"/>
      </w:pPr>
      <w:r>
        <w:rPr>
          <w:rStyle w:val="Enfasigrassetto"/>
        </w:rPr>
        <w:t>Nel caso in cui il nuovo trattamento economico, ac</w:t>
      </w:r>
      <w:r>
        <w:rPr>
          <w:rStyle w:val="Enfasigrassetto"/>
        </w:rPr>
        <w:t>quisito a seguito della progressione tra aree, sia inferiore a quello in precedenza goduto dal dipendente, lo stesso ha un peggioramento economico?</w:t>
      </w:r>
      <w:r>
        <w:rPr>
          <w:b/>
          <w:bCs/>
        </w:rPr>
        <w:br/>
      </w:r>
      <w:r>
        <w:rPr>
          <w:rStyle w:val="Enfasigrassetto"/>
        </w:rPr>
        <w:t>NO</w:t>
      </w:r>
      <w:r>
        <w:t>, l’art. 15, comma 3, dispone che “</w:t>
      </w:r>
      <w:r>
        <w:rPr>
          <w:rStyle w:val="Enfasicorsivo"/>
        </w:rPr>
        <w:t xml:space="preserve">Al dipendente viene attribuito il tabellare inziale per la nuova area. </w:t>
      </w:r>
      <w:r>
        <w:rPr>
          <w:rStyle w:val="Enfasicorsivo"/>
        </w:rPr>
        <w:t>Qualora il trattamento economico in godimento acquisito per effetto della progressione economica, risulti superiore al predetto trattamento tabellare inziale, il dipendente conserva a titolo di assegno personale, a valere sul Fondo risorse decentrate, la d</w:t>
      </w:r>
      <w:r>
        <w:rPr>
          <w:rStyle w:val="Enfasicorsivo"/>
        </w:rPr>
        <w:t>ifferenza assorbibile nelle successive progressioni economiche all’interno della stessa area</w:t>
      </w:r>
      <w:r>
        <w:t>”.</w:t>
      </w:r>
    </w:p>
    <w:p w:rsidR="00000000" w:rsidRDefault="005B3861">
      <w:pPr>
        <w:pStyle w:val="NormaleWeb"/>
      </w:pPr>
      <w:r>
        <w:rPr>
          <w:rStyle w:val="Enfasicorsivo"/>
        </w:rPr>
        <w:t>Le presenti FAQ costituiscono una rielaborazione aggiornata di quelle già pubblicate nella Newsletter d’autore del 28 settembre 2022</w:t>
      </w:r>
    </w:p>
    <w:p w:rsidR="00000000" w:rsidRDefault="005B3861">
      <w:pPr>
        <w:rPr>
          <w:rFonts w:eastAsia="Times New Roman"/>
        </w:rPr>
      </w:pPr>
      <w:r>
        <w:rPr>
          <w:rFonts w:eastAsia="Times New Roman"/>
        </w:rPr>
        <w:pict>
          <v:rect id="_x0000_i1026" style="width:0;height:1.5pt" o:hralign="center" o:hrstd="t" o:hr="t" fillcolor="#a0a0a0" stroked="f"/>
        </w:pict>
      </w:r>
    </w:p>
    <w:p w:rsidR="005B3861" w:rsidRDefault="005B3861">
      <w:pPr>
        <w:pStyle w:val="NormaleWeb"/>
        <w:jc w:val="center"/>
        <w:rPr>
          <w:sz w:val="15"/>
          <w:szCs w:val="15"/>
        </w:rPr>
      </w:pPr>
      <w:r>
        <w:rPr>
          <w:sz w:val="15"/>
          <w:szCs w:val="15"/>
        </w:rPr>
        <w:t>www.lagazzettadeglientilocali.it</w:t>
      </w:r>
    </w:p>
    <w:sectPr w:rsidR="005B38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642"/>
    <w:multiLevelType w:val="multilevel"/>
    <w:tmpl w:val="C5C2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0D71CA"/>
    <w:rsid w:val="000D71CA"/>
    <w:rsid w:val="005B386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FE8C80F-7E95-4CFB-998C-A9F7AA37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msonormal0">
    <w:name w:val="msonormal"/>
    <w:basedOn w:val="Normale"/>
    <w:pPr>
      <w:spacing w:before="100" w:beforeAutospacing="1" w:after="100" w:afterAutospacing="1"/>
    </w:pPr>
  </w:style>
  <w:style w:type="paragraph" w:styleId="NormaleWeb">
    <w:name w:val="Normal (Web)"/>
    <w:basedOn w:val="Normale"/>
    <w:uiPriority w:val="99"/>
    <w:semiHidden/>
    <w:unhideWhenUsed/>
    <w:pPr>
      <w:spacing w:before="100" w:beforeAutospacing="1" w:after="100" w:afterAutospacing="1"/>
    </w:pPr>
  </w:style>
  <w:style w:type="character" w:styleId="Enfasicorsivo">
    <w:name w:val="Emphasis"/>
    <w:basedOn w:val="Carpredefinitoparagrafo"/>
    <w:uiPriority w:val="20"/>
    <w:qFormat/>
    <w:rPr>
      <w:i/>
      <w:iCs/>
    </w:rPr>
  </w:style>
  <w:style w:type="character" w:styleId="Enfasigrassetto">
    <w:name w:val="Strong"/>
    <w:basedOn w:val="Carpredefinitoparagrafo"/>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MAGGIOLI EDITORE - La Gazzetta degli Enti Locali</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MAGGIOLI EDITORE - La Gazzetta degli Enti Locali</dc:title>
  <dc:subject/>
  <dc:creator>Tullio</dc:creator>
  <cp:keywords/>
  <dc:description/>
  <cp:lastModifiedBy>Tullio</cp:lastModifiedBy>
  <cp:revision>2</cp:revision>
  <dcterms:created xsi:type="dcterms:W3CDTF">2023-05-09T15:20:00Z</dcterms:created>
  <dcterms:modified xsi:type="dcterms:W3CDTF">2023-05-09T15:20:00Z</dcterms:modified>
</cp:coreProperties>
</file>